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2D53" w14:textId="77777777" w:rsidR="004507AB" w:rsidRDefault="000E3180">
      <w:pPr>
        <w:rPr>
          <w:b/>
          <w:bCs/>
          <w:sz w:val="28"/>
          <w:szCs w:val="28"/>
        </w:rPr>
      </w:pPr>
      <w:r>
        <w:rPr>
          <w:b/>
          <w:bCs/>
          <w:sz w:val="28"/>
          <w:szCs w:val="28"/>
        </w:rPr>
        <w:t xml:space="preserve">Elkesley </w:t>
      </w:r>
      <w:r>
        <w:rPr>
          <w:b/>
          <w:bCs/>
          <w:sz w:val="28"/>
          <w:szCs w:val="28"/>
          <w:u w:val="single"/>
        </w:rPr>
        <w:t>Review</w:t>
      </w:r>
      <w:r>
        <w:rPr>
          <w:b/>
          <w:bCs/>
          <w:sz w:val="28"/>
          <w:szCs w:val="28"/>
        </w:rPr>
        <w:t xml:space="preserve"> Neighbourhood Plan: Statement of Extent and Nature of Review.</w:t>
      </w:r>
    </w:p>
    <w:p w14:paraId="134AB6DA" w14:textId="77777777" w:rsidR="004507AB" w:rsidRDefault="004507AB">
      <w:pPr>
        <w:rPr>
          <w:b/>
          <w:bCs/>
          <w:sz w:val="28"/>
          <w:szCs w:val="28"/>
        </w:rPr>
      </w:pPr>
    </w:p>
    <w:p w14:paraId="345579AD" w14:textId="77777777" w:rsidR="004507AB" w:rsidRDefault="000E3180">
      <w:pPr>
        <w:rPr>
          <w:b/>
          <w:bCs/>
          <w:sz w:val="28"/>
          <w:szCs w:val="28"/>
        </w:rPr>
      </w:pPr>
      <w:r>
        <w:rPr>
          <w:b/>
          <w:bCs/>
          <w:sz w:val="28"/>
          <w:szCs w:val="28"/>
        </w:rPr>
        <w:t>October 2024</w:t>
      </w:r>
    </w:p>
    <w:p w14:paraId="4E29A954" w14:textId="77777777" w:rsidR="004507AB" w:rsidRDefault="004507AB">
      <w:pPr>
        <w:rPr>
          <w:b/>
          <w:bCs/>
          <w:sz w:val="28"/>
          <w:szCs w:val="28"/>
        </w:rPr>
      </w:pPr>
    </w:p>
    <w:p w14:paraId="2F51E04C" w14:textId="77777777" w:rsidR="004507AB" w:rsidRDefault="000E3180">
      <w:pPr>
        <w:rPr>
          <w:b/>
          <w:bCs/>
          <w:sz w:val="28"/>
          <w:szCs w:val="28"/>
        </w:rPr>
      </w:pPr>
      <w:r>
        <w:rPr>
          <w:b/>
          <w:bCs/>
          <w:sz w:val="28"/>
          <w:szCs w:val="28"/>
        </w:rPr>
        <w:t>1. Overview</w:t>
      </w:r>
    </w:p>
    <w:p w14:paraId="731682D9" w14:textId="77777777" w:rsidR="004507AB" w:rsidRDefault="004507AB">
      <w:pPr>
        <w:rPr>
          <w:b/>
          <w:bCs/>
          <w:sz w:val="28"/>
          <w:szCs w:val="28"/>
        </w:rPr>
      </w:pPr>
    </w:p>
    <w:p w14:paraId="41A6A45C" w14:textId="77777777" w:rsidR="004507AB" w:rsidRDefault="004507AB"/>
    <w:p w14:paraId="30FC3C0F" w14:textId="77777777" w:rsidR="004507AB" w:rsidRDefault="000E3180">
      <w:r>
        <w:t xml:space="preserve">The Elkesley Neighbourhood Plan was adopted in November 2015 and the Parish Council decided to pursue a review of the Neighbourhood Plan, to reflect changes in the local context, feedback on how the Plan was being used in practice, and updates to the legislative context, particularly the recent Bassetlaw Local Plan. This statement details the extent of the proposed modifications to the Plan, and the views of the Qualifying Body and Bassetlaw District Council (BDC) on the nature of the changes. </w:t>
      </w:r>
    </w:p>
    <w:p w14:paraId="5798CEBC" w14:textId="77777777" w:rsidR="004507AB" w:rsidRDefault="004507AB"/>
    <w:p w14:paraId="1C3FE07C" w14:textId="77777777" w:rsidR="004507AB" w:rsidRDefault="004507AB"/>
    <w:p w14:paraId="5993B4E2" w14:textId="77777777" w:rsidR="004507AB" w:rsidRDefault="000E3180">
      <w:pPr>
        <w:rPr>
          <w:b/>
          <w:bCs/>
          <w:sz w:val="28"/>
          <w:szCs w:val="28"/>
        </w:rPr>
      </w:pPr>
      <w:r>
        <w:rPr>
          <w:b/>
          <w:bCs/>
          <w:sz w:val="28"/>
          <w:szCs w:val="28"/>
        </w:rPr>
        <w:t>2. Proposed Amendments</w:t>
      </w:r>
    </w:p>
    <w:p w14:paraId="128F3904" w14:textId="77777777" w:rsidR="004507AB" w:rsidRDefault="004507AB">
      <w:pPr>
        <w:rPr>
          <w:b/>
          <w:bCs/>
          <w:sz w:val="28"/>
          <w:szCs w:val="28"/>
        </w:rPr>
      </w:pPr>
    </w:p>
    <w:p w14:paraId="1B8B0C0C" w14:textId="77777777" w:rsidR="004507AB" w:rsidRDefault="004507AB">
      <w:pPr>
        <w:rPr>
          <w:b/>
          <w:bCs/>
          <w:sz w:val="28"/>
          <w:szCs w:val="28"/>
        </w:rPr>
      </w:pPr>
    </w:p>
    <w:p w14:paraId="4059E7AD" w14:textId="77777777" w:rsidR="004507AB" w:rsidRDefault="000E3180">
      <w:r>
        <w:t>The proposed amendments to the existing Neighbourhood Plan can be summarised as follows:</w:t>
      </w:r>
    </w:p>
    <w:p w14:paraId="54199DFB" w14:textId="77777777" w:rsidR="004507AB" w:rsidRDefault="004507AB"/>
    <w:p w14:paraId="75CE809E" w14:textId="77777777" w:rsidR="004507AB" w:rsidRDefault="000E3180">
      <w:r>
        <w:t>*  The Vision and Objectives have been amended to reflect the latest views of the community.</w:t>
      </w:r>
    </w:p>
    <w:p w14:paraId="0E2936D2" w14:textId="77777777" w:rsidR="004507AB" w:rsidRDefault="004507AB"/>
    <w:p w14:paraId="5E28CEDC" w14:textId="77777777" w:rsidR="004507AB" w:rsidRDefault="000E3180">
      <w:r>
        <w:t>*  Six new Policies have been added, Policy 2, 3, 4, 9, 12, 13 to reflect what is important to the community.</w:t>
      </w:r>
    </w:p>
    <w:p w14:paraId="5E94AD14" w14:textId="77777777" w:rsidR="004507AB" w:rsidRDefault="004507AB"/>
    <w:p w14:paraId="08C0CC55" w14:textId="77777777" w:rsidR="004507AB" w:rsidRDefault="000E3180">
      <w:r>
        <w:t xml:space="preserve">* Policies 1, 4, 5, 6, 7, 8, 9, 10, 11 have been amended, changed or combined to enhance the plan and ensure </w:t>
      </w:r>
      <w:proofErr w:type="spellStart"/>
      <w:r>
        <w:t>its</w:t>
      </w:r>
      <w:proofErr w:type="spellEnd"/>
      <w:r>
        <w:t xml:space="preserve"> is compliant with BDC Local Plan.</w:t>
      </w:r>
    </w:p>
    <w:p w14:paraId="676B9A37" w14:textId="77777777" w:rsidR="004507AB" w:rsidRDefault="004507AB"/>
    <w:p w14:paraId="260818CF" w14:textId="77777777" w:rsidR="004507AB" w:rsidRDefault="000E3180">
      <w:r>
        <w:t>* Re-introduction of the Development boundary</w:t>
      </w:r>
    </w:p>
    <w:p w14:paraId="1FAC7519" w14:textId="77777777" w:rsidR="004507AB" w:rsidRDefault="004507AB"/>
    <w:p w14:paraId="361506E4" w14:textId="77777777" w:rsidR="004507AB" w:rsidRDefault="000E3180">
      <w:r>
        <w:t>*  Parish wide analysis has also been undertaken for Maps 4a, 4b and 5 to identify Key Views, Areas of landscape sensitivity, Local Green Spaces.</w:t>
      </w:r>
    </w:p>
    <w:p w14:paraId="5FB62541" w14:textId="77777777" w:rsidR="004507AB" w:rsidRDefault="004507AB"/>
    <w:p w14:paraId="69C012F1" w14:textId="77777777" w:rsidR="004507AB" w:rsidRDefault="000E3180">
      <w:r>
        <w:t xml:space="preserve">* Plan Area based studies have also been commissioned by the Neighbourhood Planning Group on behalf of the Parish Council for the Neighbourhood Plan, Elkesley Design Guidance and Codes, Housing Needs Assessment and </w:t>
      </w:r>
      <w:proofErr w:type="spellStart"/>
      <w:r>
        <w:t>Backland</w:t>
      </w:r>
      <w:proofErr w:type="spellEnd"/>
      <w:r>
        <w:t xml:space="preserve"> Sites Options (Masterplan) by AECOM.</w:t>
      </w:r>
    </w:p>
    <w:p w14:paraId="08A389B6" w14:textId="77777777" w:rsidR="004507AB" w:rsidRDefault="004507AB"/>
    <w:p w14:paraId="04E6BCA6" w14:textId="77777777" w:rsidR="004507AB" w:rsidRDefault="000E3180">
      <w:r>
        <w:t xml:space="preserve">Consequential changes have also been made throughout the Plan for consistency, clarity, and to ensure that references to other documents, and legislation are </w:t>
      </w:r>
      <w:proofErr w:type="gramStart"/>
      <w:r>
        <w:t>up-to-date</w:t>
      </w:r>
      <w:proofErr w:type="gramEnd"/>
      <w:r>
        <w:t>.</w:t>
      </w:r>
    </w:p>
    <w:p w14:paraId="22DFE241" w14:textId="77777777" w:rsidR="004507AB" w:rsidRDefault="004507AB"/>
    <w:p w14:paraId="01F7A910" w14:textId="77777777" w:rsidR="004507AB" w:rsidRDefault="004507AB"/>
    <w:p w14:paraId="151D8F4D" w14:textId="77777777" w:rsidR="004507AB" w:rsidRDefault="004507AB"/>
    <w:p w14:paraId="2A0F3134" w14:textId="77777777" w:rsidR="004507AB" w:rsidRDefault="004507AB"/>
    <w:p w14:paraId="23DF5329" w14:textId="77777777" w:rsidR="004507AB" w:rsidRDefault="004507AB"/>
    <w:p w14:paraId="4986195F" w14:textId="77777777" w:rsidR="004507AB" w:rsidRDefault="004507AB"/>
    <w:p w14:paraId="3888244F" w14:textId="77777777" w:rsidR="004507AB" w:rsidRDefault="004507AB"/>
    <w:p w14:paraId="59E5B986" w14:textId="77777777" w:rsidR="004507AB" w:rsidRDefault="004507AB"/>
    <w:p w14:paraId="5D0B26D0" w14:textId="77777777" w:rsidR="004507AB" w:rsidRDefault="004507AB"/>
    <w:p w14:paraId="0FDCF14D" w14:textId="77777777" w:rsidR="004507AB" w:rsidRDefault="004507AB"/>
    <w:p w14:paraId="2A21D47E" w14:textId="77777777" w:rsidR="004507AB" w:rsidRDefault="004507AB"/>
    <w:p w14:paraId="6EE19E1E" w14:textId="77777777" w:rsidR="004507AB" w:rsidRDefault="000E3180">
      <w:pPr>
        <w:rPr>
          <w:b/>
          <w:bCs/>
          <w:sz w:val="28"/>
          <w:szCs w:val="28"/>
        </w:rPr>
      </w:pPr>
      <w:r>
        <w:rPr>
          <w:b/>
          <w:bCs/>
          <w:sz w:val="28"/>
          <w:szCs w:val="28"/>
        </w:rPr>
        <w:lastRenderedPageBreak/>
        <w:t>3. Judgement on Scope and Scale of the Review</w:t>
      </w:r>
    </w:p>
    <w:p w14:paraId="607BD584" w14:textId="77777777" w:rsidR="004507AB" w:rsidRDefault="004507AB">
      <w:pPr>
        <w:rPr>
          <w:b/>
          <w:bCs/>
          <w:sz w:val="28"/>
          <w:szCs w:val="28"/>
        </w:rPr>
      </w:pPr>
    </w:p>
    <w:p w14:paraId="09BB0318" w14:textId="77777777" w:rsidR="004507AB" w:rsidRDefault="000E3180">
      <w:r>
        <w:t xml:space="preserve">National Planning Policy Guidance clarifies that there are three classes of review that can be undertaken in respect to a ‘made’ </w:t>
      </w:r>
      <w:r>
        <w:t>neighbourhood plan, each with its own procedure for enactment, as follows:</w:t>
      </w:r>
    </w:p>
    <w:p w14:paraId="667276E6" w14:textId="77777777" w:rsidR="004507AB" w:rsidRDefault="004507AB"/>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4507AB" w14:paraId="481DAAA4" w14:textId="77777777">
        <w:tc>
          <w:tcPr>
            <w:tcW w:w="3212" w:type="dxa"/>
            <w:tcBorders>
              <w:top w:val="single" w:sz="4" w:space="0" w:color="000000"/>
              <w:left w:val="single" w:sz="4" w:space="0" w:color="000000"/>
              <w:bottom w:val="single" w:sz="4" w:space="0" w:color="000000"/>
            </w:tcBorders>
          </w:tcPr>
          <w:p w14:paraId="504844D3" w14:textId="77777777" w:rsidR="004507AB" w:rsidRDefault="000E3180">
            <w:pPr>
              <w:pStyle w:val="TableContents"/>
              <w:jc w:val="center"/>
              <w:rPr>
                <w:b/>
                <w:bCs/>
                <w:color w:val="000000"/>
              </w:rPr>
            </w:pPr>
            <w:r>
              <w:rPr>
                <w:b/>
                <w:bCs/>
                <w:color w:val="000000"/>
              </w:rPr>
              <w:t>Typology</w:t>
            </w:r>
          </w:p>
        </w:tc>
        <w:tc>
          <w:tcPr>
            <w:tcW w:w="3213" w:type="dxa"/>
            <w:tcBorders>
              <w:top w:val="single" w:sz="4" w:space="0" w:color="000000"/>
              <w:left w:val="single" w:sz="4" w:space="0" w:color="000000"/>
              <w:bottom w:val="single" w:sz="4" w:space="0" w:color="000000"/>
            </w:tcBorders>
          </w:tcPr>
          <w:p w14:paraId="7F85225F" w14:textId="77777777" w:rsidR="004507AB" w:rsidRDefault="000E3180">
            <w:pPr>
              <w:pStyle w:val="TableContents"/>
              <w:jc w:val="center"/>
              <w:rPr>
                <w:b/>
                <w:bCs/>
                <w:color w:val="000000"/>
              </w:rPr>
            </w:pPr>
            <w:r>
              <w:rPr>
                <w:b/>
                <w:bCs/>
                <w:color w:val="000000"/>
              </w:rPr>
              <w:t>Definition</w:t>
            </w:r>
          </w:p>
        </w:tc>
        <w:tc>
          <w:tcPr>
            <w:tcW w:w="3213" w:type="dxa"/>
            <w:tcBorders>
              <w:top w:val="single" w:sz="4" w:space="0" w:color="000000"/>
              <w:left w:val="single" w:sz="4" w:space="0" w:color="000000"/>
              <w:bottom w:val="single" w:sz="4" w:space="0" w:color="000000"/>
              <w:right w:val="single" w:sz="4" w:space="0" w:color="000000"/>
            </w:tcBorders>
          </w:tcPr>
          <w:p w14:paraId="3184A0E8" w14:textId="77777777" w:rsidR="004507AB" w:rsidRDefault="000E3180">
            <w:pPr>
              <w:pStyle w:val="TableContents"/>
              <w:jc w:val="center"/>
              <w:rPr>
                <w:b/>
                <w:bCs/>
                <w:color w:val="000000"/>
              </w:rPr>
            </w:pPr>
            <w:r>
              <w:rPr>
                <w:b/>
                <w:bCs/>
                <w:color w:val="000000"/>
              </w:rPr>
              <w:t>Procedure</w:t>
            </w:r>
          </w:p>
        </w:tc>
      </w:tr>
      <w:tr w:rsidR="004507AB" w14:paraId="78204310" w14:textId="77777777">
        <w:tc>
          <w:tcPr>
            <w:tcW w:w="3212" w:type="dxa"/>
            <w:tcBorders>
              <w:left w:val="single" w:sz="4" w:space="0" w:color="000000"/>
              <w:bottom w:val="single" w:sz="4" w:space="0" w:color="000000"/>
            </w:tcBorders>
          </w:tcPr>
          <w:p w14:paraId="35281E8F" w14:textId="77777777" w:rsidR="004507AB" w:rsidRDefault="000E3180">
            <w:pPr>
              <w:pStyle w:val="TableContents"/>
              <w:rPr>
                <w:color w:val="000000"/>
              </w:rPr>
            </w:pPr>
            <w:r>
              <w:rPr>
                <w:color w:val="000000"/>
              </w:rPr>
              <w:t>Non-material amendment</w:t>
            </w:r>
          </w:p>
        </w:tc>
        <w:tc>
          <w:tcPr>
            <w:tcW w:w="3213" w:type="dxa"/>
            <w:tcBorders>
              <w:left w:val="single" w:sz="4" w:space="0" w:color="000000"/>
              <w:bottom w:val="single" w:sz="4" w:space="0" w:color="000000"/>
            </w:tcBorders>
          </w:tcPr>
          <w:p w14:paraId="5F292AA4" w14:textId="77777777" w:rsidR="004507AB" w:rsidRDefault="000E3180">
            <w:pPr>
              <w:pStyle w:val="TableContents"/>
              <w:rPr>
                <w:color w:val="000000"/>
              </w:rPr>
            </w:pPr>
            <w:r>
              <w:rPr>
                <w:color w:val="000000"/>
              </w:rPr>
              <w:t>Correcting a minor error that will not materially change the way that a ‘made’ neighbourhood plan functions</w:t>
            </w:r>
          </w:p>
        </w:tc>
        <w:tc>
          <w:tcPr>
            <w:tcW w:w="3213" w:type="dxa"/>
            <w:tcBorders>
              <w:left w:val="single" w:sz="4" w:space="0" w:color="000000"/>
              <w:bottom w:val="single" w:sz="4" w:space="0" w:color="000000"/>
              <w:right w:val="single" w:sz="4" w:space="0" w:color="000000"/>
            </w:tcBorders>
          </w:tcPr>
          <w:p w14:paraId="4955B57C" w14:textId="77777777" w:rsidR="004507AB" w:rsidRDefault="000E3180">
            <w:pPr>
              <w:pStyle w:val="TableContents"/>
              <w:rPr>
                <w:color w:val="000000"/>
              </w:rPr>
            </w:pPr>
            <w:r>
              <w:rPr>
                <w:color w:val="000000"/>
              </w:rPr>
              <w:t xml:space="preserve">The changes can </w:t>
            </w:r>
            <w:r>
              <w:rPr>
                <w:color w:val="000000"/>
              </w:rPr>
              <w:t>be made to the plan, subject to the approval of both the qualifying body (e.g. parish council) and BDC Full Council</w:t>
            </w:r>
          </w:p>
        </w:tc>
      </w:tr>
      <w:tr w:rsidR="004507AB" w14:paraId="5278869C" w14:textId="77777777">
        <w:tc>
          <w:tcPr>
            <w:tcW w:w="3212" w:type="dxa"/>
            <w:tcBorders>
              <w:left w:val="single" w:sz="4" w:space="0" w:color="000000"/>
              <w:bottom w:val="single" w:sz="4" w:space="0" w:color="000000"/>
            </w:tcBorders>
          </w:tcPr>
          <w:p w14:paraId="08B9C808" w14:textId="77777777" w:rsidR="004507AB" w:rsidRDefault="000E3180">
            <w:pPr>
              <w:pStyle w:val="TableContents"/>
              <w:rPr>
                <w:color w:val="000000"/>
              </w:rPr>
            </w:pPr>
            <w:r>
              <w:rPr>
                <w:color w:val="000000"/>
              </w:rPr>
              <w:t>Minor material amendment</w:t>
            </w:r>
          </w:p>
        </w:tc>
        <w:tc>
          <w:tcPr>
            <w:tcW w:w="3213" w:type="dxa"/>
            <w:tcBorders>
              <w:left w:val="single" w:sz="4" w:space="0" w:color="000000"/>
              <w:bottom w:val="single" w:sz="4" w:space="0" w:color="000000"/>
            </w:tcBorders>
          </w:tcPr>
          <w:p w14:paraId="5A3BA143" w14:textId="77777777" w:rsidR="004507AB" w:rsidRDefault="000E3180">
            <w:pPr>
              <w:pStyle w:val="TableContents"/>
              <w:rPr>
                <w:color w:val="000000"/>
              </w:rPr>
            </w:pPr>
            <w:r>
              <w:rPr>
                <w:color w:val="000000"/>
              </w:rPr>
              <w:t>Making small-scale changes that may have a material impact on the way that a ‘made’ neighbourhood plan functions. The decision as to whether the changes alter the nature of the plan will be determined by the examiner</w:t>
            </w:r>
          </w:p>
        </w:tc>
        <w:tc>
          <w:tcPr>
            <w:tcW w:w="3213" w:type="dxa"/>
            <w:tcBorders>
              <w:left w:val="single" w:sz="4" w:space="0" w:color="000000"/>
              <w:bottom w:val="single" w:sz="4" w:space="0" w:color="000000"/>
              <w:right w:val="single" w:sz="4" w:space="0" w:color="000000"/>
            </w:tcBorders>
          </w:tcPr>
          <w:p w14:paraId="3CA676AF" w14:textId="77777777" w:rsidR="004507AB" w:rsidRDefault="000E3180">
            <w:pPr>
              <w:pStyle w:val="TableContents"/>
              <w:rPr>
                <w:color w:val="000000"/>
              </w:rPr>
            </w:pPr>
            <w:r>
              <w:rPr>
                <w:color w:val="000000"/>
              </w:rPr>
              <w:t xml:space="preserve">As above, but the modified plan should be subject to public/statutory consultation (Reg14 and Reg 16), and independent examination before seeking </w:t>
            </w:r>
          </w:p>
          <w:p w14:paraId="5923EE44" w14:textId="77777777" w:rsidR="004507AB" w:rsidRDefault="000E3180">
            <w:pPr>
              <w:pStyle w:val="TableContents"/>
              <w:rPr>
                <w:color w:val="000000"/>
              </w:rPr>
            </w:pPr>
            <w:r>
              <w:rPr>
                <w:color w:val="000000"/>
              </w:rPr>
              <w:t xml:space="preserve">BDC </w:t>
            </w:r>
            <w:r>
              <w:rPr>
                <w:color w:val="000000"/>
              </w:rPr>
              <w:t>Full Council approval to adopt.</w:t>
            </w:r>
          </w:p>
        </w:tc>
      </w:tr>
      <w:tr w:rsidR="004507AB" w14:paraId="683711CE" w14:textId="77777777">
        <w:tc>
          <w:tcPr>
            <w:tcW w:w="3212" w:type="dxa"/>
            <w:tcBorders>
              <w:left w:val="single" w:sz="4" w:space="0" w:color="000000"/>
              <w:bottom w:val="single" w:sz="4" w:space="0" w:color="000000"/>
            </w:tcBorders>
          </w:tcPr>
          <w:p w14:paraId="74D0FBB1" w14:textId="77777777" w:rsidR="004507AB" w:rsidRDefault="000E3180">
            <w:pPr>
              <w:pStyle w:val="TableContents"/>
              <w:rPr>
                <w:color w:val="000000"/>
              </w:rPr>
            </w:pPr>
            <w:r>
              <w:rPr>
                <w:color w:val="000000"/>
              </w:rPr>
              <w:t>Significant material amendment</w:t>
            </w:r>
          </w:p>
        </w:tc>
        <w:tc>
          <w:tcPr>
            <w:tcW w:w="3213" w:type="dxa"/>
            <w:tcBorders>
              <w:left w:val="single" w:sz="4" w:space="0" w:color="000000"/>
              <w:bottom w:val="single" w:sz="4" w:space="0" w:color="000000"/>
            </w:tcBorders>
          </w:tcPr>
          <w:p w14:paraId="10549A28" w14:textId="77777777" w:rsidR="004507AB" w:rsidRDefault="000E3180">
            <w:pPr>
              <w:pStyle w:val="TableContents"/>
              <w:rPr>
                <w:color w:val="000000"/>
              </w:rPr>
            </w:pPr>
            <w:r>
              <w:rPr>
                <w:color w:val="000000"/>
              </w:rPr>
              <w:t>Making more substantial changes that will materially alter the way that a ‘made’ neighbourhood plan functions.</w:t>
            </w:r>
          </w:p>
        </w:tc>
        <w:tc>
          <w:tcPr>
            <w:tcW w:w="3213" w:type="dxa"/>
            <w:tcBorders>
              <w:left w:val="single" w:sz="4" w:space="0" w:color="000000"/>
              <w:bottom w:val="single" w:sz="4" w:space="0" w:color="000000"/>
              <w:right w:val="single" w:sz="4" w:space="0" w:color="000000"/>
            </w:tcBorders>
          </w:tcPr>
          <w:p w14:paraId="18AAB6E4" w14:textId="77777777" w:rsidR="004507AB" w:rsidRDefault="000E3180">
            <w:pPr>
              <w:pStyle w:val="TableContents"/>
              <w:rPr>
                <w:color w:val="000000"/>
              </w:rPr>
            </w:pPr>
            <w:r>
              <w:rPr>
                <w:color w:val="000000"/>
              </w:rPr>
              <w:t xml:space="preserve">As above, but a public referendum will be required </w:t>
            </w:r>
            <w:proofErr w:type="gramStart"/>
            <w:r>
              <w:rPr>
                <w:color w:val="000000"/>
              </w:rPr>
              <w:t>subsequent to</w:t>
            </w:r>
            <w:proofErr w:type="gramEnd"/>
            <w:r>
              <w:rPr>
                <w:color w:val="000000"/>
              </w:rPr>
              <w:t xml:space="preserve"> BDC Full Council approval in order to ‘make’/adopt the plan</w:t>
            </w:r>
          </w:p>
        </w:tc>
      </w:tr>
    </w:tbl>
    <w:p w14:paraId="23B308E5" w14:textId="77777777" w:rsidR="004507AB" w:rsidRDefault="004507AB"/>
    <w:p w14:paraId="2668F2BD" w14:textId="77777777" w:rsidR="004507AB" w:rsidRDefault="004507AB"/>
    <w:p w14:paraId="23350352" w14:textId="77777777" w:rsidR="004507AB" w:rsidRDefault="000E3180">
      <w:r>
        <w:t xml:space="preserve">With reference to the table above, both the Qualifying Body and Bassetlaw District </w:t>
      </w:r>
      <w:proofErr w:type="gramStart"/>
      <w:r>
        <w:t>Council  are</w:t>
      </w:r>
      <w:proofErr w:type="gramEnd"/>
      <w:r>
        <w:t xml:space="preserve"> of the view that the proposed changes constitute a significant modification to the plan, but acknowledge that it is for the Independent Examiner to make a definitive judgment.</w:t>
      </w:r>
    </w:p>
    <w:p w14:paraId="43CD1F48" w14:textId="77777777" w:rsidR="004507AB" w:rsidRDefault="004507AB"/>
    <w:p w14:paraId="2F35D35E" w14:textId="77777777" w:rsidR="004507AB" w:rsidRDefault="000E3180">
      <w:r>
        <w:t xml:space="preserve">In accordance with this judgement, the amendments to the Plan have been subject to public consultation in accordance with Regulation 14 of the Neighbourhood Planning (General) Regulations 2012. </w:t>
      </w:r>
    </w:p>
    <w:p w14:paraId="3EFA7831" w14:textId="77777777" w:rsidR="004507AB" w:rsidRDefault="004507AB">
      <w:pPr>
        <w:jc w:val="center"/>
        <w:rPr>
          <w:b/>
          <w:bCs/>
          <w:sz w:val="28"/>
          <w:szCs w:val="28"/>
        </w:rPr>
      </w:pPr>
    </w:p>
    <w:sectPr w:rsidR="004507A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AB"/>
    <w:rsid w:val="000E3180"/>
    <w:rsid w:val="004507AB"/>
    <w:rsid w:val="00D52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1334"/>
  <w15:docId w15:val="{7EABE949-0F96-4B9E-9E3F-6D60CFF0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Elkesley Neighbourhood Plan (Review) - Statement of Extent of Review</dc:title>
  <dc:subject/>
  <dc:creator/>
  <cp:keywords>Elkesley Neighbourhood Plan Review</cp:keywords>
  <dc:description/>
  <cp:lastModifiedBy>Will Wilson</cp:lastModifiedBy>
  <cp:revision>3</cp:revision>
  <cp:lastPrinted>2024-10-13T16:24:00Z</cp:lastPrinted>
  <dcterms:created xsi:type="dcterms:W3CDTF">2024-09-16T15:02:00Z</dcterms:created>
  <dcterms:modified xsi:type="dcterms:W3CDTF">2025-02-10T13:02:00Z</dcterms:modified>
  <dc:language>en-GB</dc:language>
</cp:coreProperties>
</file>