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D566" w14:textId="7DBD6B06" w:rsidR="0065319B" w:rsidRPr="00612D2E" w:rsidRDefault="0065319B" w:rsidP="0065319B">
      <w:pPr>
        <w:rPr>
          <w:rFonts w:ascii="Arial" w:hAnsi="Arial" w:cs="Arial"/>
          <w:b/>
        </w:rPr>
      </w:pPr>
      <w:r>
        <w:rPr>
          <w:rFonts w:ascii="Arial" w:hAnsi="Arial" w:cs="Arial"/>
          <w:b/>
        </w:rPr>
        <w:t xml:space="preserve">Treswell </w:t>
      </w:r>
      <w:r w:rsidR="004B4C25">
        <w:rPr>
          <w:rFonts w:ascii="Arial" w:hAnsi="Arial" w:cs="Arial"/>
          <w:b/>
        </w:rPr>
        <w:t>with</w:t>
      </w:r>
      <w:r>
        <w:rPr>
          <w:rFonts w:ascii="Arial" w:hAnsi="Arial" w:cs="Arial"/>
          <w:b/>
        </w:rPr>
        <w:t xml:space="preserve"> Cottam </w:t>
      </w:r>
      <w:r w:rsidRPr="00612D2E">
        <w:rPr>
          <w:rFonts w:ascii="Arial" w:hAnsi="Arial" w:cs="Arial"/>
          <w:b/>
        </w:rPr>
        <w:t xml:space="preserve">Neighbourhood </w:t>
      </w:r>
      <w:r>
        <w:rPr>
          <w:rFonts w:ascii="Arial" w:hAnsi="Arial" w:cs="Arial"/>
          <w:b/>
        </w:rPr>
        <w:t xml:space="preserve">Development </w:t>
      </w:r>
      <w:r w:rsidRPr="00612D2E">
        <w:rPr>
          <w:rFonts w:ascii="Arial" w:hAnsi="Arial" w:cs="Arial"/>
          <w:b/>
        </w:rPr>
        <w:t>Plan</w:t>
      </w:r>
      <w:r w:rsidR="00D627EB">
        <w:rPr>
          <w:rFonts w:ascii="Arial" w:hAnsi="Arial" w:cs="Arial"/>
          <w:b/>
        </w:rPr>
        <w:t xml:space="preserve"> Review</w:t>
      </w:r>
    </w:p>
    <w:p w14:paraId="2E1653DE" w14:textId="50FD3A6D" w:rsidR="0065319B" w:rsidRDefault="00AF0E03" w:rsidP="0065319B">
      <w:pPr>
        <w:rPr>
          <w:rFonts w:ascii="Arial" w:hAnsi="Arial" w:cs="Arial"/>
          <w:b/>
        </w:rPr>
      </w:pPr>
      <w:r>
        <w:rPr>
          <w:rFonts w:ascii="Arial" w:hAnsi="Arial" w:cs="Arial"/>
          <w:b/>
        </w:rPr>
        <w:t xml:space="preserve">Responses to </w:t>
      </w:r>
      <w:r w:rsidR="0065319B" w:rsidRPr="00612D2E">
        <w:rPr>
          <w:rFonts w:ascii="Arial" w:hAnsi="Arial" w:cs="Arial"/>
          <w:b/>
        </w:rPr>
        <w:t>Examiner’s Clarification Note</w:t>
      </w:r>
      <w:r>
        <w:rPr>
          <w:rFonts w:ascii="Arial" w:hAnsi="Arial" w:cs="Arial"/>
          <w:b/>
        </w:rPr>
        <w:t xml:space="preserve"> </w:t>
      </w:r>
      <w:r w:rsidRPr="00AF0E03">
        <w:rPr>
          <w:rFonts w:ascii="Arial" w:hAnsi="Arial" w:cs="Arial"/>
          <w:b/>
          <w:color w:val="FF0000"/>
        </w:rPr>
        <w:t>(in red)</w:t>
      </w:r>
    </w:p>
    <w:p w14:paraId="299C2CC3" w14:textId="77777777" w:rsidR="0065319B" w:rsidRDefault="0065319B" w:rsidP="0065319B">
      <w:pPr>
        <w:jc w:val="both"/>
        <w:rPr>
          <w:rFonts w:ascii="Arial" w:hAnsi="Arial" w:cs="Arial"/>
        </w:rPr>
      </w:pPr>
      <w:r>
        <w:rPr>
          <w:rFonts w:ascii="Arial" w:hAnsi="Arial" w:cs="Arial"/>
        </w:rPr>
        <w:t>This Note sets out my initial comments on the submitted Plan. It also sets out areas where it would be helpful to have some further clarification. For the avoidance of any doubt matters of clarification are entirely normal at this early stage of the examination process.</w:t>
      </w:r>
    </w:p>
    <w:p w14:paraId="5698BD4F" w14:textId="567AE5D8" w:rsidR="00A833BE" w:rsidRPr="00A833BE" w:rsidRDefault="00A833BE" w:rsidP="0065319B">
      <w:pPr>
        <w:jc w:val="both"/>
        <w:rPr>
          <w:rFonts w:ascii="Arial" w:hAnsi="Arial" w:cs="Arial"/>
          <w:color w:val="FF0000"/>
        </w:rPr>
      </w:pPr>
      <w:r w:rsidRPr="00A833BE">
        <w:rPr>
          <w:rFonts w:ascii="Arial" w:hAnsi="Arial" w:cs="Arial"/>
          <w:color w:val="FF0000"/>
        </w:rPr>
        <w:t>Noted.</w:t>
      </w:r>
    </w:p>
    <w:p w14:paraId="676E08C2" w14:textId="77777777" w:rsidR="0065319B" w:rsidRDefault="0065319B" w:rsidP="0065319B">
      <w:pPr>
        <w:jc w:val="both"/>
        <w:rPr>
          <w:rFonts w:ascii="Arial" w:hAnsi="Arial" w:cs="Arial"/>
          <w:b/>
          <w:i/>
        </w:rPr>
      </w:pPr>
      <w:r w:rsidRPr="00B424E2">
        <w:rPr>
          <w:rFonts w:ascii="Arial" w:hAnsi="Arial" w:cs="Arial"/>
          <w:b/>
          <w:i/>
        </w:rPr>
        <w:t>Initial Comments</w:t>
      </w:r>
    </w:p>
    <w:p w14:paraId="0352E51B" w14:textId="77777777" w:rsidR="0065319B" w:rsidRDefault="0065319B" w:rsidP="0065319B">
      <w:pPr>
        <w:jc w:val="both"/>
        <w:rPr>
          <w:rFonts w:ascii="Arial" w:hAnsi="Arial" w:cs="Arial"/>
        </w:rPr>
      </w:pPr>
      <w:r>
        <w:rPr>
          <w:rFonts w:ascii="Arial" w:hAnsi="Arial" w:cs="Arial"/>
        </w:rPr>
        <w:t xml:space="preserve">The Plan provides a distinctive vision for the neighbourhood area. The presentation of the Plan is good. The difference between the policies and the supporting text is very clear. </w:t>
      </w:r>
    </w:p>
    <w:p w14:paraId="74CD5C30" w14:textId="3FDFCDB4" w:rsidR="00A833BE" w:rsidRPr="00A833BE" w:rsidRDefault="00A833BE" w:rsidP="0065319B">
      <w:pPr>
        <w:jc w:val="both"/>
        <w:rPr>
          <w:rFonts w:ascii="Arial" w:hAnsi="Arial" w:cs="Arial"/>
          <w:color w:val="FF0000"/>
        </w:rPr>
      </w:pPr>
      <w:r w:rsidRPr="00A833BE">
        <w:rPr>
          <w:rFonts w:ascii="Arial" w:hAnsi="Arial" w:cs="Arial"/>
          <w:color w:val="FF0000"/>
        </w:rPr>
        <w:t>Thank you.</w:t>
      </w:r>
    </w:p>
    <w:p w14:paraId="0D066927" w14:textId="0CDA34CD" w:rsidR="005E4E95" w:rsidRDefault="0065319B" w:rsidP="0065319B">
      <w:pPr>
        <w:jc w:val="both"/>
        <w:rPr>
          <w:rFonts w:ascii="Arial" w:hAnsi="Arial" w:cs="Arial"/>
        </w:rPr>
      </w:pPr>
      <w:r>
        <w:rPr>
          <w:rFonts w:ascii="Arial" w:hAnsi="Arial" w:cs="Arial"/>
        </w:rPr>
        <w:t xml:space="preserve">The </w:t>
      </w:r>
      <w:r w:rsidR="005E4E95">
        <w:rPr>
          <w:rFonts w:ascii="Arial" w:hAnsi="Arial" w:cs="Arial"/>
        </w:rPr>
        <w:t>document</w:t>
      </w:r>
      <w:r w:rsidR="00535B47">
        <w:rPr>
          <w:rFonts w:ascii="Arial" w:hAnsi="Arial" w:cs="Arial"/>
        </w:rPr>
        <w:t xml:space="preserve"> is a very good example of a community reviewing its</w:t>
      </w:r>
      <w:r>
        <w:rPr>
          <w:rFonts w:ascii="Arial" w:hAnsi="Arial" w:cs="Arial"/>
        </w:rPr>
        <w:t xml:space="preserve"> </w:t>
      </w:r>
      <w:r w:rsidR="005E4E95">
        <w:rPr>
          <w:rFonts w:ascii="Arial" w:hAnsi="Arial" w:cs="Arial"/>
        </w:rPr>
        <w:t xml:space="preserve">neighbourhood </w:t>
      </w:r>
      <w:r w:rsidR="00D70338">
        <w:rPr>
          <w:rFonts w:ascii="Arial" w:hAnsi="Arial" w:cs="Arial"/>
        </w:rPr>
        <w:t>p</w:t>
      </w:r>
      <w:r w:rsidR="005E4E95">
        <w:rPr>
          <w:rFonts w:ascii="Arial" w:hAnsi="Arial" w:cs="Arial"/>
        </w:rPr>
        <w:t xml:space="preserve">lan. The Plan itself and the </w:t>
      </w:r>
      <w:r w:rsidR="00911674">
        <w:rPr>
          <w:rFonts w:ascii="Arial" w:hAnsi="Arial" w:cs="Arial"/>
        </w:rPr>
        <w:t>S</w:t>
      </w:r>
      <w:r w:rsidR="005E4E95">
        <w:rPr>
          <w:rFonts w:ascii="Arial" w:hAnsi="Arial" w:cs="Arial"/>
        </w:rPr>
        <w:t xml:space="preserve">tatement on the extent </w:t>
      </w:r>
      <w:r w:rsidR="00911674">
        <w:rPr>
          <w:rFonts w:ascii="Arial" w:hAnsi="Arial" w:cs="Arial"/>
        </w:rPr>
        <w:t xml:space="preserve">and nature </w:t>
      </w:r>
      <w:r w:rsidR="005E4E95">
        <w:rPr>
          <w:rFonts w:ascii="Arial" w:hAnsi="Arial" w:cs="Arial"/>
        </w:rPr>
        <w:t xml:space="preserve">of the review helpfully capture the differences between the submitted Plan and the made Plan. I agree with the conclusion that the Plan needs both examination and a referendum. The examination process will </w:t>
      </w:r>
      <w:r w:rsidR="00F1090F">
        <w:rPr>
          <w:rFonts w:ascii="Arial" w:hAnsi="Arial" w:cs="Arial"/>
        </w:rPr>
        <w:t>proceed</w:t>
      </w:r>
      <w:r w:rsidR="005E4E95">
        <w:rPr>
          <w:rFonts w:ascii="Arial" w:hAnsi="Arial" w:cs="Arial"/>
        </w:rPr>
        <w:t xml:space="preserve"> on that basis. </w:t>
      </w:r>
    </w:p>
    <w:p w14:paraId="37E18EBC" w14:textId="64BF9E06" w:rsidR="00A833BE" w:rsidRPr="00A833BE" w:rsidRDefault="00A833BE" w:rsidP="0065319B">
      <w:pPr>
        <w:jc w:val="both"/>
        <w:rPr>
          <w:rFonts w:ascii="Arial" w:hAnsi="Arial" w:cs="Arial"/>
          <w:color w:val="FF0000"/>
        </w:rPr>
      </w:pPr>
      <w:r w:rsidRPr="00A833BE">
        <w:rPr>
          <w:rFonts w:ascii="Arial" w:hAnsi="Arial" w:cs="Arial"/>
          <w:color w:val="FF0000"/>
        </w:rPr>
        <w:t>Noted thanks.</w:t>
      </w:r>
    </w:p>
    <w:p w14:paraId="13A8B4FC" w14:textId="77777777" w:rsidR="0065319B" w:rsidRPr="00B424E2" w:rsidRDefault="0065319B" w:rsidP="0065319B">
      <w:pPr>
        <w:jc w:val="both"/>
        <w:rPr>
          <w:rFonts w:ascii="Arial" w:hAnsi="Arial" w:cs="Arial"/>
          <w:b/>
          <w:i/>
        </w:rPr>
      </w:pPr>
      <w:r>
        <w:rPr>
          <w:rFonts w:ascii="Arial" w:hAnsi="Arial" w:cs="Arial"/>
          <w:b/>
          <w:i/>
        </w:rPr>
        <w:t>Points for Clarification</w:t>
      </w:r>
    </w:p>
    <w:p w14:paraId="705D0030" w14:textId="3ADD3157" w:rsidR="00A833BE" w:rsidRDefault="0065319B" w:rsidP="0065319B">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 I have also visited the neighbourhood area. </w:t>
      </w:r>
      <w:r w:rsidRPr="00CA7069">
        <w:rPr>
          <w:rFonts w:ascii="Arial" w:hAnsi="Arial" w:cs="Arial"/>
        </w:rPr>
        <w:t>I am</w:t>
      </w:r>
      <w:r>
        <w:rPr>
          <w:rFonts w:ascii="Arial" w:hAnsi="Arial" w:cs="Arial"/>
        </w:rPr>
        <w:t xml:space="preserve"> now able to raise</w:t>
      </w:r>
      <w:r w:rsidRPr="00CA7069">
        <w:rPr>
          <w:rFonts w:ascii="Arial" w:hAnsi="Arial" w:cs="Arial"/>
        </w:rPr>
        <w:t xml:space="preserve"> </w:t>
      </w:r>
      <w:r>
        <w:rPr>
          <w:rFonts w:ascii="Arial" w:hAnsi="Arial" w:cs="Arial"/>
        </w:rPr>
        <w:t xml:space="preserve">issues for clarification with the Parish Council.  </w:t>
      </w:r>
    </w:p>
    <w:p w14:paraId="452F26C7" w14:textId="77777777" w:rsidR="0065319B" w:rsidRDefault="0065319B" w:rsidP="0065319B">
      <w:pPr>
        <w:jc w:val="both"/>
        <w:rPr>
          <w:rFonts w:ascii="Arial" w:hAnsi="Arial" w:cs="Arial"/>
        </w:rPr>
      </w:pPr>
      <w:r>
        <w:rPr>
          <w:rFonts w:ascii="Arial" w:hAnsi="Arial" w:cs="Arial"/>
        </w:rPr>
        <w:t>The comments made on the</w:t>
      </w:r>
      <w:r w:rsidRPr="00CA7069">
        <w:rPr>
          <w:rFonts w:ascii="Arial" w:hAnsi="Arial" w:cs="Arial"/>
        </w:rPr>
        <w:t xml:space="preserve"> </w:t>
      </w:r>
      <w:r>
        <w:rPr>
          <w:rFonts w:ascii="Arial" w:hAnsi="Arial" w:cs="Arial"/>
        </w:rPr>
        <w:t>points in this Note will be used to assist</w:t>
      </w:r>
      <w:r w:rsidRPr="00CA7069">
        <w:rPr>
          <w:rFonts w:ascii="Arial" w:hAnsi="Arial" w:cs="Arial"/>
        </w:rPr>
        <w:t xml:space="preserve"> in the preparation of my repor</w:t>
      </w:r>
      <w:r>
        <w:rPr>
          <w:rFonts w:ascii="Arial" w:hAnsi="Arial" w:cs="Arial"/>
        </w:rPr>
        <w:t>t and in recommending any modifications that may be</w:t>
      </w:r>
      <w:r w:rsidRPr="00CA7069">
        <w:rPr>
          <w:rFonts w:ascii="Arial" w:hAnsi="Arial" w:cs="Arial"/>
        </w:rPr>
        <w:t xml:space="preserve"> necessary to the Plan to ensure that it meets the basic conditions</w:t>
      </w:r>
      <w:r>
        <w:rPr>
          <w:rFonts w:ascii="Arial" w:hAnsi="Arial" w:cs="Arial"/>
        </w:rPr>
        <w:t>.</w:t>
      </w:r>
    </w:p>
    <w:p w14:paraId="655C884C" w14:textId="77777777" w:rsidR="008B0012" w:rsidRDefault="0065319B" w:rsidP="0065319B">
      <w:pPr>
        <w:jc w:val="both"/>
        <w:rPr>
          <w:rFonts w:ascii="Arial" w:hAnsi="Arial" w:cs="Arial"/>
        </w:rPr>
      </w:pPr>
      <w:r>
        <w:rPr>
          <w:rFonts w:ascii="Arial" w:hAnsi="Arial" w:cs="Arial"/>
        </w:rPr>
        <w:t>I set out specific policy clarification points below in the order in which they appear in the submitted Plan</w:t>
      </w:r>
      <w:r w:rsidR="005E4E95">
        <w:rPr>
          <w:rFonts w:ascii="Arial" w:hAnsi="Arial" w:cs="Arial"/>
        </w:rPr>
        <w:t xml:space="preserve">. </w:t>
      </w:r>
      <w:r w:rsidR="00852EDF">
        <w:rPr>
          <w:rFonts w:ascii="Arial" w:hAnsi="Arial" w:cs="Arial"/>
        </w:rPr>
        <w:t>To avoid repetition</w:t>
      </w:r>
      <w:r w:rsidR="00901BBA">
        <w:rPr>
          <w:rFonts w:ascii="Arial" w:hAnsi="Arial" w:cs="Arial"/>
        </w:rPr>
        <w:t>,</w:t>
      </w:r>
      <w:r w:rsidR="00852EDF">
        <w:rPr>
          <w:rFonts w:ascii="Arial" w:hAnsi="Arial" w:cs="Arial"/>
        </w:rPr>
        <w:t xml:space="preserve"> several of the points apply equally to several or </w:t>
      </w:r>
      <w:r w:rsidR="00D70338">
        <w:rPr>
          <w:rFonts w:ascii="Arial" w:hAnsi="Arial" w:cs="Arial"/>
        </w:rPr>
        <w:t>all</w:t>
      </w:r>
      <w:r w:rsidR="00852EDF">
        <w:rPr>
          <w:rFonts w:ascii="Arial" w:hAnsi="Arial" w:cs="Arial"/>
        </w:rPr>
        <w:t xml:space="preserve"> the four housing allocations</w:t>
      </w:r>
      <w:r w:rsidR="0088231E">
        <w:rPr>
          <w:rFonts w:ascii="Arial" w:hAnsi="Arial" w:cs="Arial"/>
        </w:rPr>
        <w:t xml:space="preserve">. </w:t>
      </w:r>
    </w:p>
    <w:p w14:paraId="3CEF8778" w14:textId="2A284144" w:rsidR="0065319B" w:rsidRDefault="005F0BC0" w:rsidP="0065319B">
      <w:pPr>
        <w:jc w:val="both"/>
        <w:rPr>
          <w:rFonts w:ascii="Arial" w:hAnsi="Arial" w:cs="Arial"/>
        </w:rPr>
      </w:pPr>
      <w:r>
        <w:rPr>
          <w:rFonts w:ascii="Arial" w:hAnsi="Arial" w:cs="Arial"/>
        </w:rPr>
        <w:t>As the Plan is a review of the made Plan</w:t>
      </w:r>
      <w:r w:rsidR="00CF6CF7">
        <w:rPr>
          <w:rFonts w:ascii="Arial" w:hAnsi="Arial" w:cs="Arial"/>
        </w:rPr>
        <w:t>,</w:t>
      </w:r>
      <w:r w:rsidR="00084322">
        <w:rPr>
          <w:rFonts w:ascii="Arial" w:hAnsi="Arial" w:cs="Arial"/>
        </w:rPr>
        <w:t xml:space="preserve"> t</w:t>
      </w:r>
      <w:r w:rsidR="00823DE8">
        <w:rPr>
          <w:rFonts w:ascii="Arial" w:hAnsi="Arial" w:cs="Arial"/>
        </w:rPr>
        <w:t xml:space="preserve">he questions focus on the </w:t>
      </w:r>
      <w:r w:rsidR="00CF6CF7">
        <w:rPr>
          <w:rFonts w:ascii="Arial" w:hAnsi="Arial" w:cs="Arial"/>
        </w:rPr>
        <w:t xml:space="preserve">proposed </w:t>
      </w:r>
      <w:r w:rsidR="00823DE8">
        <w:rPr>
          <w:rFonts w:ascii="Arial" w:hAnsi="Arial" w:cs="Arial"/>
        </w:rPr>
        <w:t xml:space="preserve">new policies. </w:t>
      </w:r>
    </w:p>
    <w:p w14:paraId="476F3A90" w14:textId="6D10D1E5" w:rsidR="00852EDF" w:rsidRDefault="00852EDF" w:rsidP="0065319B">
      <w:pPr>
        <w:jc w:val="both"/>
        <w:rPr>
          <w:rFonts w:ascii="Arial" w:hAnsi="Arial" w:cs="Arial"/>
          <w:i/>
          <w:iCs/>
        </w:rPr>
      </w:pPr>
      <w:r w:rsidRPr="00852EDF">
        <w:rPr>
          <w:rFonts w:ascii="Arial" w:hAnsi="Arial" w:cs="Arial"/>
          <w:i/>
          <w:iCs/>
        </w:rPr>
        <w:t>Policies 1-4</w:t>
      </w:r>
    </w:p>
    <w:p w14:paraId="7C8B9DBE" w14:textId="46F4AD1D" w:rsidR="00852EDF" w:rsidRDefault="00852EDF" w:rsidP="0065319B">
      <w:pPr>
        <w:jc w:val="both"/>
        <w:rPr>
          <w:rFonts w:ascii="Arial" w:hAnsi="Arial" w:cs="Arial"/>
        </w:rPr>
      </w:pPr>
      <w:r>
        <w:rPr>
          <w:rFonts w:ascii="Arial" w:hAnsi="Arial" w:cs="Arial"/>
        </w:rPr>
        <w:t xml:space="preserve">These policies take a positive approach to the </w:t>
      </w:r>
      <w:r w:rsidR="00285E82">
        <w:rPr>
          <w:rFonts w:ascii="Arial" w:hAnsi="Arial" w:cs="Arial"/>
        </w:rPr>
        <w:t xml:space="preserve">now </w:t>
      </w:r>
      <w:r w:rsidR="00DE6A79">
        <w:rPr>
          <w:rFonts w:ascii="Arial" w:hAnsi="Arial" w:cs="Arial"/>
        </w:rPr>
        <w:t xml:space="preserve">well-advanced </w:t>
      </w:r>
      <w:r>
        <w:rPr>
          <w:rFonts w:ascii="Arial" w:hAnsi="Arial" w:cs="Arial"/>
        </w:rPr>
        <w:t xml:space="preserve">emerging planning </w:t>
      </w:r>
      <w:r w:rsidR="00823DE8">
        <w:rPr>
          <w:rFonts w:ascii="Arial" w:hAnsi="Arial" w:cs="Arial"/>
        </w:rPr>
        <w:t>policy</w:t>
      </w:r>
      <w:r>
        <w:rPr>
          <w:rFonts w:ascii="Arial" w:hAnsi="Arial" w:cs="Arial"/>
        </w:rPr>
        <w:t xml:space="preserve"> </w:t>
      </w:r>
      <w:r w:rsidR="00823DE8">
        <w:rPr>
          <w:rFonts w:ascii="Arial" w:hAnsi="Arial" w:cs="Arial"/>
        </w:rPr>
        <w:t>context</w:t>
      </w:r>
      <w:r>
        <w:rPr>
          <w:rFonts w:ascii="Arial" w:hAnsi="Arial" w:cs="Arial"/>
        </w:rPr>
        <w:t xml:space="preserve"> in </w:t>
      </w:r>
      <w:r w:rsidR="00285E82">
        <w:rPr>
          <w:rFonts w:ascii="Arial" w:hAnsi="Arial" w:cs="Arial"/>
        </w:rPr>
        <w:t>Bassetlaw</w:t>
      </w:r>
      <w:r>
        <w:rPr>
          <w:rFonts w:ascii="Arial" w:hAnsi="Arial" w:cs="Arial"/>
        </w:rPr>
        <w:t xml:space="preserve">. </w:t>
      </w:r>
      <w:r w:rsidR="00901BBA">
        <w:rPr>
          <w:rFonts w:ascii="Arial" w:hAnsi="Arial" w:cs="Arial"/>
        </w:rPr>
        <w:t>In addition, t</w:t>
      </w:r>
      <w:r w:rsidR="002B176E">
        <w:rPr>
          <w:rFonts w:ascii="Arial" w:hAnsi="Arial" w:cs="Arial"/>
        </w:rPr>
        <w:t xml:space="preserve">he criteria are </w:t>
      </w:r>
      <w:proofErr w:type="gramStart"/>
      <w:r w:rsidR="002B176E">
        <w:rPr>
          <w:rFonts w:ascii="Arial" w:hAnsi="Arial" w:cs="Arial"/>
        </w:rPr>
        <w:t>locally-distinctive</w:t>
      </w:r>
      <w:proofErr w:type="gramEnd"/>
      <w:r w:rsidR="00901BBA">
        <w:rPr>
          <w:rFonts w:ascii="Arial" w:hAnsi="Arial" w:cs="Arial"/>
        </w:rPr>
        <w:t xml:space="preserve">. </w:t>
      </w:r>
    </w:p>
    <w:p w14:paraId="1FA1048C" w14:textId="030F3EE7" w:rsidR="00852EDF" w:rsidRDefault="00852EDF" w:rsidP="0065319B">
      <w:pPr>
        <w:jc w:val="both"/>
        <w:rPr>
          <w:rFonts w:ascii="Arial" w:hAnsi="Arial" w:cs="Arial"/>
        </w:rPr>
      </w:pPr>
      <w:r>
        <w:rPr>
          <w:rFonts w:ascii="Arial" w:hAnsi="Arial" w:cs="Arial"/>
        </w:rPr>
        <w:t>Based on my own observations of the sites</w:t>
      </w:r>
      <w:r w:rsidR="00D70338">
        <w:rPr>
          <w:rFonts w:ascii="Arial" w:hAnsi="Arial" w:cs="Arial"/>
        </w:rPr>
        <w:t>,</w:t>
      </w:r>
      <w:r>
        <w:rPr>
          <w:rFonts w:ascii="Arial" w:hAnsi="Arial" w:cs="Arial"/>
        </w:rPr>
        <w:t xml:space="preserve"> and the representations received</w:t>
      </w:r>
      <w:r w:rsidR="00D70338">
        <w:rPr>
          <w:rFonts w:ascii="Arial" w:hAnsi="Arial" w:cs="Arial"/>
        </w:rPr>
        <w:t>,</w:t>
      </w:r>
      <w:r>
        <w:rPr>
          <w:rFonts w:ascii="Arial" w:hAnsi="Arial" w:cs="Arial"/>
        </w:rPr>
        <w:t xml:space="preserve"> I am minded </w:t>
      </w:r>
      <w:proofErr w:type="gramStart"/>
      <w:r>
        <w:rPr>
          <w:rFonts w:ascii="Arial" w:hAnsi="Arial" w:cs="Arial"/>
        </w:rPr>
        <w:t>to recommend</w:t>
      </w:r>
      <w:proofErr w:type="gramEnd"/>
      <w:r>
        <w:rPr>
          <w:rFonts w:ascii="Arial" w:hAnsi="Arial" w:cs="Arial"/>
        </w:rPr>
        <w:t xml:space="preserve"> the following modifications to each policy:</w:t>
      </w:r>
    </w:p>
    <w:p w14:paraId="33C8ED37" w14:textId="3C1372E6" w:rsidR="00852EDF" w:rsidRDefault="00D70338" w:rsidP="00852EDF">
      <w:pPr>
        <w:pStyle w:val="ListParagraph"/>
        <w:numPr>
          <w:ilvl w:val="0"/>
          <w:numId w:val="2"/>
        </w:numPr>
        <w:jc w:val="both"/>
        <w:rPr>
          <w:rFonts w:ascii="Arial" w:hAnsi="Arial" w:cs="Arial"/>
        </w:rPr>
      </w:pPr>
      <w:r>
        <w:rPr>
          <w:rFonts w:ascii="Arial" w:hAnsi="Arial" w:cs="Arial"/>
        </w:rPr>
        <w:t>t</w:t>
      </w:r>
      <w:r w:rsidR="00084322">
        <w:rPr>
          <w:rFonts w:ascii="Arial" w:hAnsi="Arial" w:cs="Arial"/>
        </w:rPr>
        <w:t>he replacement of the site identification</w:t>
      </w:r>
      <w:r w:rsidR="00D2409E">
        <w:rPr>
          <w:rFonts w:ascii="Arial" w:hAnsi="Arial" w:cs="Arial"/>
        </w:rPr>
        <w:t>s</w:t>
      </w:r>
      <w:r w:rsidR="00084322">
        <w:rPr>
          <w:rFonts w:ascii="Arial" w:hAnsi="Arial" w:cs="Arial"/>
        </w:rPr>
        <w:t xml:space="preserve"> with geographic </w:t>
      </w:r>
      <w:proofErr w:type="gramStart"/>
      <w:r w:rsidR="00084322">
        <w:rPr>
          <w:rFonts w:ascii="Arial" w:hAnsi="Arial" w:cs="Arial"/>
        </w:rPr>
        <w:t>description</w:t>
      </w:r>
      <w:r w:rsidR="00D2409E">
        <w:rPr>
          <w:rFonts w:ascii="Arial" w:hAnsi="Arial" w:cs="Arial"/>
        </w:rPr>
        <w:t>s</w:t>
      </w:r>
      <w:r>
        <w:rPr>
          <w:rFonts w:ascii="Arial" w:hAnsi="Arial" w:cs="Arial"/>
        </w:rPr>
        <w:t>;</w:t>
      </w:r>
      <w:proofErr w:type="gramEnd"/>
    </w:p>
    <w:p w14:paraId="5F6BD2F2" w14:textId="353ED254" w:rsidR="00A833BE" w:rsidRDefault="00A833BE" w:rsidP="00A833BE">
      <w:pPr>
        <w:jc w:val="both"/>
        <w:rPr>
          <w:rFonts w:ascii="Arial" w:hAnsi="Arial" w:cs="Arial"/>
          <w:color w:val="FF0000"/>
        </w:rPr>
      </w:pPr>
      <w:r w:rsidRPr="00A833BE">
        <w:rPr>
          <w:rFonts w:ascii="Arial" w:hAnsi="Arial" w:cs="Arial"/>
          <w:color w:val="FF0000"/>
        </w:rPr>
        <w:t>Noted and agreed.</w:t>
      </w:r>
    </w:p>
    <w:p w14:paraId="7D392223" w14:textId="5DFE4FC6" w:rsidR="00A833BE" w:rsidRDefault="00A833BE" w:rsidP="00A833BE">
      <w:pPr>
        <w:jc w:val="both"/>
        <w:rPr>
          <w:rFonts w:ascii="Arial" w:hAnsi="Arial" w:cs="Arial"/>
          <w:color w:val="FF0000"/>
        </w:rPr>
      </w:pPr>
      <w:r>
        <w:rPr>
          <w:rFonts w:ascii="Arial" w:hAnsi="Arial" w:cs="Arial"/>
          <w:color w:val="FF0000"/>
        </w:rPr>
        <w:t>This was also raised in a comment made at Regulation 16. Our response to that comment was to say the following:</w:t>
      </w:r>
    </w:p>
    <w:p w14:paraId="16A495D9" w14:textId="77777777" w:rsidR="00A833BE" w:rsidRPr="00A833BE" w:rsidRDefault="00A833BE" w:rsidP="00A833BE">
      <w:pPr>
        <w:jc w:val="both"/>
        <w:rPr>
          <w:rFonts w:ascii="Arial" w:hAnsi="Arial" w:cs="Arial"/>
          <w:color w:val="FF0000"/>
        </w:rPr>
      </w:pPr>
      <w:r w:rsidRPr="00A833BE">
        <w:rPr>
          <w:rFonts w:ascii="Arial" w:hAnsi="Arial" w:cs="Arial"/>
          <w:color w:val="FF0000"/>
        </w:rPr>
        <w:t>Agreed, however the lack of specific landmarks makes this a challenge! We are happy to work with BDC on applying appropriate descriptions for the sites, and offer the following suggestions:</w:t>
      </w:r>
    </w:p>
    <w:p w14:paraId="4315769B" w14:textId="77777777" w:rsidR="00A833BE" w:rsidRPr="00A833BE" w:rsidRDefault="00A833BE" w:rsidP="00A833BE">
      <w:pPr>
        <w:jc w:val="both"/>
        <w:rPr>
          <w:rFonts w:ascii="Arial" w:hAnsi="Arial" w:cs="Arial"/>
          <w:color w:val="FF0000"/>
        </w:rPr>
      </w:pPr>
    </w:p>
    <w:p w14:paraId="297401CF" w14:textId="77777777" w:rsidR="00A833BE" w:rsidRPr="00A833BE" w:rsidRDefault="00A833BE" w:rsidP="00A833BE">
      <w:pPr>
        <w:jc w:val="both"/>
        <w:rPr>
          <w:rFonts w:ascii="Arial" w:hAnsi="Arial" w:cs="Arial"/>
          <w:color w:val="FF0000"/>
        </w:rPr>
      </w:pPr>
      <w:r w:rsidRPr="00A833BE">
        <w:rPr>
          <w:rFonts w:ascii="Arial" w:hAnsi="Arial" w:cs="Arial"/>
          <w:color w:val="FF0000"/>
        </w:rPr>
        <w:t>NP01 – the junction of Rectory Road and Town Street.</w:t>
      </w:r>
    </w:p>
    <w:p w14:paraId="62763272" w14:textId="77777777" w:rsidR="00A833BE" w:rsidRPr="00A833BE" w:rsidRDefault="00A833BE" w:rsidP="00A833BE">
      <w:pPr>
        <w:jc w:val="both"/>
        <w:rPr>
          <w:rFonts w:ascii="Arial" w:hAnsi="Arial" w:cs="Arial"/>
          <w:color w:val="FF0000"/>
        </w:rPr>
      </w:pPr>
      <w:r w:rsidRPr="00A833BE">
        <w:rPr>
          <w:rFonts w:ascii="Arial" w:hAnsi="Arial" w:cs="Arial"/>
          <w:color w:val="FF0000"/>
        </w:rPr>
        <w:t>NP09 – adjacent to East End Farm.</w:t>
      </w:r>
    </w:p>
    <w:p w14:paraId="6B7A2DDB" w14:textId="77777777" w:rsidR="00A833BE" w:rsidRPr="00A833BE" w:rsidRDefault="00A833BE" w:rsidP="00A833BE">
      <w:pPr>
        <w:jc w:val="both"/>
        <w:rPr>
          <w:rFonts w:ascii="Arial" w:hAnsi="Arial" w:cs="Arial"/>
          <w:color w:val="FF0000"/>
        </w:rPr>
      </w:pPr>
      <w:r w:rsidRPr="00A833BE">
        <w:rPr>
          <w:rFonts w:ascii="Arial" w:hAnsi="Arial" w:cs="Arial"/>
          <w:color w:val="FF0000"/>
        </w:rPr>
        <w:t>NP10 – land east of Cocking Lane.</w:t>
      </w:r>
    </w:p>
    <w:p w14:paraId="157D9BF1" w14:textId="6F7A1DEA" w:rsidR="00A833BE" w:rsidRPr="00A833BE" w:rsidRDefault="00A833BE" w:rsidP="00A833BE">
      <w:pPr>
        <w:jc w:val="both"/>
        <w:rPr>
          <w:rFonts w:ascii="Arial" w:hAnsi="Arial" w:cs="Arial"/>
          <w:color w:val="FF0000"/>
        </w:rPr>
      </w:pPr>
      <w:r w:rsidRPr="00A833BE">
        <w:rPr>
          <w:rFonts w:ascii="Arial" w:hAnsi="Arial" w:cs="Arial"/>
          <w:color w:val="FF0000"/>
        </w:rPr>
        <w:t xml:space="preserve">NP12 – land on the </w:t>
      </w:r>
      <w:proofErr w:type="spellStart"/>
      <w:r w:rsidRPr="00A833BE">
        <w:rPr>
          <w:rFonts w:ascii="Arial" w:hAnsi="Arial" w:cs="Arial"/>
          <w:color w:val="FF0000"/>
        </w:rPr>
        <w:t>Shenval</w:t>
      </w:r>
      <w:proofErr w:type="spellEnd"/>
      <w:r w:rsidRPr="00A833BE">
        <w:rPr>
          <w:rFonts w:ascii="Arial" w:hAnsi="Arial" w:cs="Arial"/>
          <w:color w:val="FF0000"/>
        </w:rPr>
        <w:t xml:space="preserve"> Cottage site.</w:t>
      </w:r>
    </w:p>
    <w:p w14:paraId="64A82B68" w14:textId="57B91B26" w:rsidR="00852EDF" w:rsidRDefault="00D70338" w:rsidP="00852EDF">
      <w:pPr>
        <w:pStyle w:val="ListParagraph"/>
        <w:numPr>
          <w:ilvl w:val="0"/>
          <w:numId w:val="2"/>
        </w:numPr>
        <w:jc w:val="both"/>
        <w:rPr>
          <w:rFonts w:ascii="Arial" w:hAnsi="Arial" w:cs="Arial"/>
        </w:rPr>
      </w:pPr>
      <w:r>
        <w:rPr>
          <w:rFonts w:ascii="Arial" w:hAnsi="Arial" w:cs="Arial"/>
        </w:rPr>
        <w:t>t</w:t>
      </w:r>
      <w:r w:rsidR="00084322">
        <w:rPr>
          <w:rFonts w:ascii="Arial" w:hAnsi="Arial" w:cs="Arial"/>
        </w:rPr>
        <w:t xml:space="preserve">he inclusion of an additional criterion </w:t>
      </w:r>
      <w:r>
        <w:rPr>
          <w:rFonts w:ascii="Arial" w:hAnsi="Arial" w:cs="Arial"/>
        </w:rPr>
        <w:t xml:space="preserve">in each policy </w:t>
      </w:r>
      <w:r w:rsidR="00084322">
        <w:rPr>
          <w:rFonts w:ascii="Arial" w:hAnsi="Arial" w:cs="Arial"/>
        </w:rPr>
        <w:t xml:space="preserve">on </w:t>
      </w:r>
      <w:r>
        <w:rPr>
          <w:rFonts w:ascii="Arial" w:hAnsi="Arial" w:cs="Arial"/>
        </w:rPr>
        <w:t>biodiversity net gain</w:t>
      </w:r>
      <w:r w:rsidR="00F336C1">
        <w:rPr>
          <w:rFonts w:ascii="Arial" w:hAnsi="Arial" w:cs="Arial"/>
        </w:rPr>
        <w:t>; and</w:t>
      </w:r>
    </w:p>
    <w:p w14:paraId="6CD9D820" w14:textId="53DA2547" w:rsidR="00A833BE" w:rsidRPr="00A833BE" w:rsidRDefault="00A833BE" w:rsidP="00A833BE">
      <w:pPr>
        <w:jc w:val="both"/>
        <w:rPr>
          <w:rFonts w:ascii="Arial" w:hAnsi="Arial" w:cs="Arial"/>
          <w:color w:val="FF0000"/>
        </w:rPr>
      </w:pPr>
      <w:r w:rsidRPr="00A833BE">
        <w:rPr>
          <w:rFonts w:ascii="Arial" w:hAnsi="Arial" w:cs="Arial"/>
          <w:color w:val="FF0000"/>
        </w:rPr>
        <w:t>Agreed</w:t>
      </w:r>
    </w:p>
    <w:p w14:paraId="56603352" w14:textId="50523DE0" w:rsidR="00852EDF" w:rsidRDefault="00D70338" w:rsidP="00DD1B40">
      <w:pPr>
        <w:pStyle w:val="ListParagraph"/>
        <w:numPr>
          <w:ilvl w:val="0"/>
          <w:numId w:val="2"/>
        </w:numPr>
        <w:jc w:val="both"/>
        <w:rPr>
          <w:rFonts w:ascii="Arial" w:hAnsi="Arial" w:cs="Arial"/>
        </w:rPr>
      </w:pPr>
      <w:r>
        <w:rPr>
          <w:rFonts w:ascii="Arial" w:hAnsi="Arial" w:cs="Arial"/>
        </w:rPr>
        <w:t>t</w:t>
      </w:r>
      <w:r w:rsidR="00084322">
        <w:rPr>
          <w:rFonts w:ascii="Arial" w:hAnsi="Arial" w:cs="Arial"/>
        </w:rPr>
        <w:t xml:space="preserve">he inclusion of an additional criterion </w:t>
      </w:r>
      <w:r w:rsidR="00D2409E">
        <w:rPr>
          <w:rFonts w:ascii="Arial" w:hAnsi="Arial" w:cs="Arial"/>
        </w:rPr>
        <w:t xml:space="preserve">in each policy </w:t>
      </w:r>
      <w:r w:rsidR="00084322">
        <w:rPr>
          <w:rFonts w:ascii="Arial" w:hAnsi="Arial" w:cs="Arial"/>
        </w:rPr>
        <w:t xml:space="preserve">on how the development </w:t>
      </w:r>
      <w:r>
        <w:rPr>
          <w:rFonts w:ascii="Arial" w:hAnsi="Arial" w:cs="Arial"/>
        </w:rPr>
        <w:t xml:space="preserve">of each site </w:t>
      </w:r>
      <w:r w:rsidR="00084322">
        <w:rPr>
          <w:rFonts w:ascii="Arial" w:hAnsi="Arial" w:cs="Arial"/>
        </w:rPr>
        <w:t xml:space="preserve">should relate to the </w:t>
      </w:r>
      <w:r>
        <w:rPr>
          <w:rFonts w:ascii="Arial" w:hAnsi="Arial" w:cs="Arial"/>
        </w:rPr>
        <w:t xml:space="preserve">details in the </w:t>
      </w:r>
      <w:r w:rsidR="00084322">
        <w:rPr>
          <w:rFonts w:ascii="Arial" w:hAnsi="Arial" w:cs="Arial"/>
        </w:rPr>
        <w:t>C</w:t>
      </w:r>
      <w:r>
        <w:rPr>
          <w:rFonts w:ascii="Arial" w:hAnsi="Arial" w:cs="Arial"/>
        </w:rPr>
        <w:t xml:space="preserve">haracter </w:t>
      </w:r>
      <w:r w:rsidR="00084322">
        <w:rPr>
          <w:rFonts w:ascii="Arial" w:hAnsi="Arial" w:cs="Arial"/>
        </w:rPr>
        <w:t>A</w:t>
      </w:r>
      <w:r>
        <w:rPr>
          <w:rFonts w:ascii="Arial" w:hAnsi="Arial" w:cs="Arial"/>
        </w:rPr>
        <w:t xml:space="preserve">ssessment. </w:t>
      </w:r>
    </w:p>
    <w:p w14:paraId="6F1B3FC7" w14:textId="4F49F6D6" w:rsidR="00A833BE" w:rsidRPr="00A833BE" w:rsidRDefault="00A833BE" w:rsidP="00A833BE">
      <w:pPr>
        <w:jc w:val="both"/>
        <w:rPr>
          <w:rFonts w:ascii="Arial" w:hAnsi="Arial" w:cs="Arial"/>
          <w:color w:val="FF0000"/>
        </w:rPr>
      </w:pPr>
      <w:r w:rsidRPr="00A833BE">
        <w:rPr>
          <w:rFonts w:ascii="Arial" w:hAnsi="Arial" w:cs="Arial"/>
          <w:color w:val="FF0000"/>
        </w:rPr>
        <w:t>Agreed</w:t>
      </w:r>
    </w:p>
    <w:p w14:paraId="747EDF4D" w14:textId="58B4727E" w:rsidR="00852EDF" w:rsidRDefault="00852EDF" w:rsidP="00852EDF">
      <w:pPr>
        <w:jc w:val="both"/>
        <w:rPr>
          <w:rFonts w:ascii="Arial" w:hAnsi="Arial" w:cs="Arial"/>
        </w:rPr>
      </w:pPr>
      <w:r>
        <w:rPr>
          <w:rFonts w:ascii="Arial" w:hAnsi="Arial" w:cs="Arial"/>
        </w:rPr>
        <w:t>Does the Parish Council have any comments on this proposition?</w:t>
      </w:r>
    </w:p>
    <w:p w14:paraId="09F25B35" w14:textId="28E8B41A" w:rsidR="00A833BE" w:rsidRPr="00A833BE" w:rsidRDefault="00A833BE" w:rsidP="00852EDF">
      <w:pPr>
        <w:jc w:val="both"/>
        <w:rPr>
          <w:rFonts w:ascii="Arial" w:hAnsi="Arial" w:cs="Arial"/>
          <w:color w:val="FF0000"/>
        </w:rPr>
      </w:pPr>
      <w:r w:rsidRPr="00A833BE">
        <w:rPr>
          <w:rFonts w:ascii="Arial" w:hAnsi="Arial" w:cs="Arial"/>
          <w:color w:val="FF0000"/>
        </w:rPr>
        <w:t>As above. Thank you.</w:t>
      </w:r>
    </w:p>
    <w:p w14:paraId="63D1F7AF" w14:textId="271E5B75" w:rsidR="0039266C" w:rsidRPr="00274A51" w:rsidRDefault="0039266C" w:rsidP="00852EDF">
      <w:pPr>
        <w:jc w:val="both"/>
        <w:rPr>
          <w:rFonts w:ascii="Arial" w:hAnsi="Arial" w:cs="Arial"/>
          <w:i/>
          <w:iCs/>
        </w:rPr>
      </w:pPr>
      <w:r w:rsidRPr="00274A51">
        <w:rPr>
          <w:rFonts w:ascii="Arial" w:hAnsi="Arial" w:cs="Arial"/>
          <w:i/>
          <w:iCs/>
        </w:rPr>
        <w:t>Policies 1/3/4</w:t>
      </w:r>
    </w:p>
    <w:p w14:paraId="7AA8E62D" w14:textId="04204778" w:rsidR="0039266C" w:rsidRDefault="0039266C" w:rsidP="00852EDF">
      <w:pPr>
        <w:jc w:val="both"/>
        <w:rPr>
          <w:rFonts w:ascii="Arial" w:hAnsi="Arial" w:cs="Arial"/>
        </w:rPr>
      </w:pPr>
      <w:r>
        <w:rPr>
          <w:rFonts w:ascii="Arial" w:hAnsi="Arial" w:cs="Arial"/>
        </w:rPr>
        <w:t>It would be helpful if the P</w:t>
      </w:r>
      <w:r w:rsidR="00D70338">
        <w:rPr>
          <w:rFonts w:ascii="Arial" w:hAnsi="Arial" w:cs="Arial"/>
        </w:rPr>
        <w:t xml:space="preserve">arish </w:t>
      </w:r>
      <w:r>
        <w:rPr>
          <w:rFonts w:ascii="Arial" w:hAnsi="Arial" w:cs="Arial"/>
        </w:rPr>
        <w:t>C</w:t>
      </w:r>
      <w:r w:rsidR="00D70338">
        <w:rPr>
          <w:rFonts w:ascii="Arial" w:hAnsi="Arial" w:cs="Arial"/>
        </w:rPr>
        <w:t>ouncil</w:t>
      </w:r>
      <w:r>
        <w:rPr>
          <w:rFonts w:ascii="Arial" w:hAnsi="Arial" w:cs="Arial"/>
        </w:rPr>
        <w:t xml:space="preserve"> would clarify what it sees as linear development. </w:t>
      </w:r>
      <w:r w:rsidR="00FC60A4">
        <w:rPr>
          <w:rFonts w:ascii="Arial" w:hAnsi="Arial" w:cs="Arial"/>
        </w:rPr>
        <w:t xml:space="preserve">Is it </w:t>
      </w:r>
      <w:r w:rsidR="00274A51">
        <w:rPr>
          <w:rFonts w:ascii="Arial" w:hAnsi="Arial" w:cs="Arial"/>
        </w:rPr>
        <w:t>single-plot depth development</w:t>
      </w:r>
      <w:r w:rsidR="00D70338">
        <w:rPr>
          <w:rFonts w:ascii="Arial" w:hAnsi="Arial" w:cs="Arial"/>
        </w:rPr>
        <w:t xml:space="preserve"> on the sites which would deliver two houses</w:t>
      </w:r>
      <w:r w:rsidR="00274A51">
        <w:rPr>
          <w:rFonts w:ascii="Arial" w:hAnsi="Arial" w:cs="Arial"/>
        </w:rPr>
        <w:t>?</w:t>
      </w:r>
    </w:p>
    <w:p w14:paraId="49178F2B" w14:textId="6A04E154" w:rsidR="00D70338" w:rsidRPr="004A14B5" w:rsidRDefault="00A833BE" w:rsidP="00852EDF">
      <w:pPr>
        <w:jc w:val="both"/>
        <w:rPr>
          <w:rFonts w:ascii="Arial" w:hAnsi="Arial" w:cs="Arial"/>
          <w:color w:val="FF0000"/>
        </w:rPr>
      </w:pPr>
      <w:proofErr w:type="gramStart"/>
      <w:r w:rsidRPr="004A14B5">
        <w:rPr>
          <w:rFonts w:ascii="Arial" w:hAnsi="Arial" w:cs="Arial"/>
          <w:color w:val="FF0000"/>
        </w:rPr>
        <w:t>Yes</w:t>
      </w:r>
      <w:proofErr w:type="gramEnd"/>
      <w:r w:rsidRPr="004A14B5">
        <w:rPr>
          <w:rFonts w:ascii="Arial" w:hAnsi="Arial" w:cs="Arial"/>
          <w:color w:val="FF0000"/>
        </w:rPr>
        <w:t xml:space="preserve"> that is correct. On reflection, the term ‘linear’ will only apply </w:t>
      </w:r>
      <w:r w:rsidR="004A14B5" w:rsidRPr="004A14B5">
        <w:rPr>
          <w:rFonts w:ascii="Arial" w:hAnsi="Arial" w:cs="Arial"/>
          <w:color w:val="FF0000"/>
        </w:rPr>
        <w:t>on site 1 where there are two dwellings.</w:t>
      </w:r>
    </w:p>
    <w:p w14:paraId="071D56F3" w14:textId="27DC419C" w:rsidR="008F6DAD" w:rsidRPr="00D70338" w:rsidRDefault="008F6DAD" w:rsidP="00852EDF">
      <w:pPr>
        <w:jc w:val="both"/>
        <w:rPr>
          <w:rFonts w:ascii="Arial" w:hAnsi="Arial" w:cs="Arial"/>
          <w:i/>
          <w:iCs/>
        </w:rPr>
      </w:pPr>
      <w:r w:rsidRPr="00D70338">
        <w:rPr>
          <w:rFonts w:ascii="Arial" w:hAnsi="Arial" w:cs="Arial"/>
          <w:i/>
          <w:iCs/>
        </w:rPr>
        <w:t>Policy 5</w:t>
      </w:r>
    </w:p>
    <w:p w14:paraId="74D220B9" w14:textId="3C3E4A46" w:rsidR="004A14B5" w:rsidRDefault="001E0D73" w:rsidP="00852EDF">
      <w:pPr>
        <w:jc w:val="both"/>
        <w:rPr>
          <w:rFonts w:ascii="Arial" w:hAnsi="Arial" w:cs="Arial"/>
        </w:rPr>
      </w:pPr>
      <w:r>
        <w:rPr>
          <w:rFonts w:ascii="Arial" w:hAnsi="Arial" w:cs="Arial"/>
        </w:rPr>
        <w:t>On the one hand</w:t>
      </w:r>
      <w:r w:rsidR="00D70338">
        <w:rPr>
          <w:rFonts w:ascii="Arial" w:hAnsi="Arial" w:cs="Arial"/>
        </w:rPr>
        <w:t>,</w:t>
      </w:r>
      <w:r>
        <w:rPr>
          <w:rFonts w:ascii="Arial" w:hAnsi="Arial" w:cs="Arial"/>
        </w:rPr>
        <w:t xml:space="preserve"> this is a general infill development policy with </w:t>
      </w:r>
      <w:r w:rsidR="006B50B7">
        <w:rPr>
          <w:rFonts w:ascii="Arial" w:hAnsi="Arial" w:cs="Arial"/>
        </w:rPr>
        <w:t>appropriate</w:t>
      </w:r>
      <w:r>
        <w:rPr>
          <w:rFonts w:ascii="Arial" w:hAnsi="Arial" w:cs="Arial"/>
        </w:rPr>
        <w:t xml:space="preserve"> criteria. On the other hand</w:t>
      </w:r>
      <w:r w:rsidR="008E0799">
        <w:rPr>
          <w:rFonts w:ascii="Arial" w:hAnsi="Arial" w:cs="Arial"/>
        </w:rPr>
        <w:t>,</w:t>
      </w:r>
      <w:r>
        <w:rPr>
          <w:rFonts w:ascii="Arial" w:hAnsi="Arial" w:cs="Arial"/>
        </w:rPr>
        <w:t xml:space="preserve"> </w:t>
      </w:r>
      <w:r w:rsidR="008E0799">
        <w:rPr>
          <w:rFonts w:ascii="Arial" w:hAnsi="Arial" w:cs="Arial"/>
        </w:rPr>
        <w:t>i</w:t>
      </w:r>
      <w:r>
        <w:rPr>
          <w:rFonts w:ascii="Arial" w:hAnsi="Arial" w:cs="Arial"/>
        </w:rPr>
        <w:t xml:space="preserve">t </w:t>
      </w:r>
      <w:r w:rsidR="00620CF8">
        <w:rPr>
          <w:rFonts w:ascii="Arial" w:hAnsi="Arial" w:cs="Arial"/>
        </w:rPr>
        <w:t xml:space="preserve">appears after </w:t>
      </w:r>
      <w:r>
        <w:rPr>
          <w:rFonts w:ascii="Arial" w:hAnsi="Arial" w:cs="Arial"/>
        </w:rPr>
        <w:t>the previous four policies</w:t>
      </w:r>
      <w:r w:rsidR="006B50B7">
        <w:rPr>
          <w:rFonts w:ascii="Arial" w:hAnsi="Arial" w:cs="Arial"/>
        </w:rPr>
        <w:t>, two of which allocate land for one house and two o</w:t>
      </w:r>
      <w:r w:rsidR="00620CF8">
        <w:rPr>
          <w:rFonts w:ascii="Arial" w:hAnsi="Arial" w:cs="Arial"/>
        </w:rPr>
        <w:t xml:space="preserve">f which allocate land for two houses. </w:t>
      </w:r>
    </w:p>
    <w:p w14:paraId="4D482F10" w14:textId="278A6A2F" w:rsidR="00620CF8" w:rsidRDefault="00620CF8" w:rsidP="00852EDF">
      <w:pPr>
        <w:jc w:val="both"/>
        <w:rPr>
          <w:rFonts w:ascii="Arial" w:hAnsi="Arial" w:cs="Arial"/>
        </w:rPr>
      </w:pPr>
      <w:r>
        <w:rPr>
          <w:rFonts w:ascii="Arial" w:hAnsi="Arial" w:cs="Arial"/>
        </w:rPr>
        <w:t>In this context</w:t>
      </w:r>
      <w:r w:rsidR="007B4656">
        <w:rPr>
          <w:rFonts w:ascii="Arial" w:hAnsi="Arial" w:cs="Arial"/>
        </w:rPr>
        <w:t>,</w:t>
      </w:r>
      <w:r>
        <w:rPr>
          <w:rFonts w:ascii="Arial" w:hAnsi="Arial" w:cs="Arial"/>
        </w:rPr>
        <w:t xml:space="preserve"> is the </w:t>
      </w:r>
      <w:r w:rsidR="00010331">
        <w:rPr>
          <w:rFonts w:ascii="Arial" w:hAnsi="Arial" w:cs="Arial"/>
        </w:rPr>
        <w:t xml:space="preserve">proposed </w:t>
      </w:r>
      <w:r w:rsidR="008E0799">
        <w:rPr>
          <w:rFonts w:ascii="Arial" w:hAnsi="Arial" w:cs="Arial"/>
        </w:rPr>
        <w:t xml:space="preserve">maximum yield of two houses appropriate for </w:t>
      </w:r>
      <w:r w:rsidR="007B4656">
        <w:rPr>
          <w:rFonts w:ascii="Arial" w:hAnsi="Arial" w:cs="Arial"/>
        </w:rPr>
        <w:t>a</w:t>
      </w:r>
      <w:r w:rsidR="008E0799">
        <w:rPr>
          <w:rFonts w:ascii="Arial" w:hAnsi="Arial" w:cs="Arial"/>
        </w:rPr>
        <w:t xml:space="preserve"> general policy</w:t>
      </w:r>
      <w:r w:rsidR="00CF6B8D">
        <w:rPr>
          <w:rFonts w:ascii="Arial" w:hAnsi="Arial" w:cs="Arial"/>
        </w:rPr>
        <w:t xml:space="preserve"> and should</w:t>
      </w:r>
      <w:r w:rsidR="008E0799">
        <w:rPr>
          <w:rFonts w:ascii="Arial" w:hAnsi="Arial" w:cs="Arial"/>
        </w:rPr>
        <w:t xml:space="preserve"> </w:t>
      </w:r>
      <w:r w:rsidR="00CF6B8D">
        <w:rPr>
          <w:rFonts w:ascii="Arial" w:hAnsi="Arial" w:cs="Arial"/>
        </w:rPr>
        <w:t>it</w:t>
      </w:r>
      <w:r w:rsidR="008E0799">
        <w:rPr>
          <w:rFonts w:ascii="Arial" w:hAnsi="Arial" w:cs="Arial"/>
        </w:rPr>
        <w:t xml:space="preserve"> more simply comment about the size and character of the site</w:t>
      </w:r>
      <w:r w:rsidR="00D25F69">
        <w:rPr>
          <w:rFonts w:ascii="Arial" w:hAnsi="Arial" w:cs="Arial"/>
        </w:rPr>
        <w:t xml:space="preserve"> concerned</w:t>
      </w:r>
      <w:r w:rsidR="008E0799">
        <w:rPr>
          <w:rFonts w:ascii="Arial" w:hAnsi="Arial" w:cs="Arial"/>
        </w:rPr>
        <w:t>?</w:t>
      </w:r>
    </w:p>
    <w:p w14:paraId="69959745" w14:textId="10077520" w:rsidR="004A14B5" w:rsidRPr="004A14B5" w:rsidRDefault="004A14B5" w:rsidP="00852EDF">
      <w:pPr>
        <w:jc w:val="both"/>
        <w:rPr>
          <w:rFonts w:ascii="Arial" w:hAnsi="Arial" w:cs="Arial"/>
          <w:color w:val="FF0000"/>
        </w:rPr>
      </w:pPr>
      <w:r w:rsidRPr="004A14B5">
        <w:rPr>
          <w:rFonts w:ascii="Arial" w:hAnsi="Arial" w:cs="Arial"/>
          <w:color w:val="FF0000"/>
        </w:rPr>
        <w:t>The policy seeks to restrict development to two dwellings, ‘unless a greater number of dwellings would not cause undue harm to the character of that part of the settlement or an over intensification of a site’.</w:t>
      </w:r>
      <w:r>
        <w:rPr>
          <w:rFonts w:ascii="Arial" w:hAnsi="Arial" w:cs="Arial"/>
          <w:color w:val="FF0000"/>
        </w:rPr>
        <w:t xml:space="preserve"> We considered this to be an appropriate policy but if it is considered that rewording the policy along the lines suggested will achieve the same end, then we are content for the change to be made.</w:t>
      </w:r>
    </w:p>
    <w:p w14:paraId="7BCC89DF" w14:textId="7DD5915A" w:rsidR="008E0799" w:rsidRDefault="002774C2" w:rsidP="00852EDF">
      <w:pPr>
        <w:jc w:val="both"/>
        <w:rPr>
          <w:rFonts w:ascii="Arial" w:hAnsi="Arial" w:cs="Arial"/>
          <w:i/>
          <w:iCs/>
        </w:rPr>
      </w:pPr>
      <w:r w:rsidRPr="002774C2">
        <w:rPr>
          <w:rFonts w:ascii="Arial" w:hAnsi="Arial" w:cs="Arial"/>
          <w:i/>
          <w:iCs/>
        </w:rPr>
        <w:t>Policy 6</w:t>
      </w:r>
    </w:p>
    <w:p w14:paraId="07996969" w14:textId="6AF0F70E" w:rsidR="002774C2" w:rsidRPr="002774C2" w:rsidRDefault="002774C2" w:rsidP="00852EDF">
      <w:pPr>
        <w:jc w:val="both"/>
        <w:rPr>
          <w:rFonts w:ascii="Arial" w:hAnsi="Arial" w:cs="Arial"/>
        </w:rPr>
      </w:pPr>
      <w:r>
        <w:rPr>
          <w:rFonts w:ascii="Arial" w:hAnsi="Arial" w:cs="Arial"/>
        </w:rPr>
        <w:t xml:space="preserve">Whilst the national approach to character and design </w:t>
      </w:r>
      <w:r w:rsidR="003D2F92">
        <w:rPr>
          <w:rFonts w:ascii="Arial" w:hAnsi="Arial" w:cs="Arial"/>
        </w:rPr>
        <w:t xml:space="preserve">(and the NPPF) </w:t>
      </w:r>
      <w:r>
        <w:rPr>
          <w:rFonts w:ascii="Arial" w:hAnsi="Arial" w:cs="Arial"/>
        </w:rPr>
        <w:t>has moved on significantly since the Plan was made</w:t>
      </w:r>
      <w:r w:rsidR="003D2F92">
        <w:rPr>
          <w:rFonts w:ascii="Arial" w:hAnsi="Arial" w:cs="Arial"/>
        </w:rPr>
        <w:t>,</w:t>
      </w:r>
      <w:r>
        <w:rPr>
          <w:rFonts w:ascii="Arial" w:hAnsi="Arial" w:cs="Arial"/>
        </w:rPr>
        <w:t xml:space="preserve"> this policy is a very effective response to Section 12 of the</w:t>
      </w:r>
      <w:r w:rsidR="00E62CDB">
        <w:rPr>
          <w:rFonts w:ascii="Arial" w:hAnsi="Arial" w:cs="Arial"/>
        </w:rPr>
        <w:t xml:space="preserve"> current version of the </w:t>
      </w:r>
      <w:r>
        <w:rPr>
          <w:rFonts w:ascii="Arial" w:hAnsi="Arial" w:cs="Arial"/>
        </w:rPr>
        <w:t xml:space="preserve">NPPF (December 2023). </w:t>
      </w:r>
    </w:p>
    <w:p w14:paraId="27D8D37E" w14:textId="3EDA915F" w:rsidR="00620CF8" w:rsidRPr="004A14B5" w:rsidRDefault="004A14B5" w:rsidP="00852EDF">
      <w:pPr>
        <w:jc w:val="both"/>
        <w:rPr>
          <w:rFonts w:ascii="Arial" w:hAnsi="Arial" w:cs="Arial"/>
          <w:color w:val="FF0000"/>
        </w:rPr>
      </w:pPr>
      <w:r w:rsidRPr="004A14B5">
        <w:rPr>
          <w:rFonts w:ascii="Arial" w:hAnsi="Arial" w:cs="Arial"/>
          <w:color w:val="FF0000"/>
        </w:rPr>
        <w:t>Thank you.</w:t>
      </w:r>
    </w:p>
    <w:p w14:paraId="0BC02CAC" w14:textId="77777777" w:rsidR="0065319B" w:rsidRPr="00C00524" w:rsidRDefault="0065319B" w:rsidP="0065319B">
      <w:pPr>
        <w:jc w:val="both"/>
        <w:rPr>
          <w:rFonts w:ascii="Arial" w:hAnsi="Arial" w:cs="Arial"/>
          <w:b/>
          <w:i/>
        </w:rPr>
      </w:pPr>
      <w:r w:rsidRPr="00C00524">
        <w:rPr>
          <w:rFonts w:ascii="Arial" w:hAnsi="Arial" w:cs="Arial"/>
          <w:b/>
          <w:i/>
        </w:rPr>
        <w:t>Representations</w:t>
      </w:r>
    </w:p>
    <w:p w14:paraId="667E84CB" w14:textId="77777777" w:rsidR="0065319B" w:rsidRDefault="0065319B" w:rsidP="0065319B">
      <w:pPr>
        <w:jc w:val="both"/>
        <w:rPr>
          <w:rFonts w:ascii="Arial" w:hAnsi="Arial" w:cs="Arial"/>
        </w:rPr>
      </w:pPr>
      <w:r w:rsidRPr="00E45983">
        <w:rPr>
          <w:rFonts w:ascii="Arial" w:hAnsi="Arial" w:cs="Arial"/>
        </w:rPr>
        <w:t xml:space="preserve">Does the </w:t>
      </w:r>
      <w:r>
        <w:rPr>
          <w:rFonts w:ascii="Arial" w:hAnsi="Arial" w:cs="Arial"/>
        </w:rPr>
        <w:t>Parish Council</w:t>
      </w:r>
      <w:r w:rsidRPr="00E45983">
        <w:rPr>
          <w:rFonts w:ascii="Arial" w:hAnsi="Arial" w:cs="Arial"/>
        </w:rPr>
        <w:t xml:space="preserve"> </w:t>
      </w:r>
      <w:r>
        <w:rPr>
          <w:rFonts w:ascii="Arial" w:hAnsi="Arial" w:cs="Arial"/>
        </w:rPr>
        <w:t>wish to</w:t>
      </w:r>
      <w:r w:rsidRPr="00E45983">
        <w:rPr>
          <w:rFonts w:ascii="Arial" w:hAnsi="Arial" w:cs="Arial"/>
        </w:rPr>
        <w:t xml:space="preserve"> comment on any of the representations made to the Pla</w:t>
      </w:r>
      <w:r>
        <w:rPr>
          <w:rFonts w:ascii="Arial" w:hAnsi="Arial" w:cs="Arial"/>
        </w:rPr>
        <w:t>n?</w:t>
      </w:r>
    </w:p>
    <w:p w14:paraId="192F2999" w14:textId="05148090" w:rsidR="0065319B" w:rsidRPr="00F1090F" w:rsidRDefault="0065319B" w:rsidP="00F1090F">
      <w:pPr>
        <w:jc w:val="both"/>
        <w:rPr>
          <w:rFonts w:ascii="Arial" w:hAnsi="Arial" w:cs="Arial"/>
        </w:rPr>
      </w:pPr>
      <w:r>
        <w:rPr>
          <w:rFonts w:ascii="Arial" w:hAnsi="Arial" w:cs="Arial"/>
        </w:rPr>
        <w:t>I would find it helpful to receive the Parish Council’s comments on the representations made by</w:t>
      </w:r>
      <w:r w:rsidR="00F1090F">
        <w:rPr>
          <w:rFonts w:ascii="Arial" w:hAnsi="Arial" w:cs="Arial"/>
        </w:rPr>
        <w:t xml:space="preserve"> </w:t>
      </w:r>
      <w:r w:rsidRPr="00F1090F">
        <w:rPr>
          <w:rFonts w:ascii="Arial" w:hAnsi="Arial" w:cs="Arial"/>
        </w:rPr>
        <w:t>Bassetlaw District Council (</w:t>
      </w:r>
      <w:r w:rsidR="00F1090F">
        <w:rPr>
          <w:rFonts w:ascii="Arial" w:hAnsi="Arial" w:cs="Arial"/>
        </w:rPr>
        <w:t>both Planning Policy and Neighbourhood Planning</w:t>
      </w:r>
      <w:proofErr w:type="gramStart"/>
      <w:r w:rsidR="00F1090F">
        <w:rPr>
          <w:rFonts w:ascii="Arial" w:hAnsi="Arial" w:cs="Arial"/>
        </w:rPr>
        <w:t>)</w:t>
      </w:r>
      <w:r w:rsidRPr="00F1090F">
        <w:rPr>
          <w:rFonts w:ascii="Arial" w:hAnsi="Arial" w:cs="Arial"/>
        </w:rPr>
        <w:t>;</w:t>
      </w:r>
      <w:proofErr w:type="gramEnd"/>
    </w:p>
    <w:p w14:paraId="415B914C" w14:textId="77777777" w:rsidR="0065319B" w:rsidRDefault="0065319B" w:rsidP="0065319B">
      <w:pPr>
        <w:jc w:val="both"/>
        <w:rPr>
          <w:rFonts w:ascii="Arial" w:hAnsi="Arial" w:cs="Arial"/>
        </w:rPr>
      </w:pPr>
    </w:p>
    <w:p w14:paraId="25EF3715" w14:textId="77777777" w:rsidR="0065319B" w:rsidRPr="000069D9" w:rsidRDefault="0065319B" w:rsidP="0065319B">
      <w:pPr>
        <w:jc w:val="both"/>
        <w:rPr>
          <w:rFonts w:ascii="Arial" w:hAnsi="Arial" w:cs="Arial"/>
          <w:i/>
        </w:rPr>
      </w:pPr>
      <w:r>
        <w:rPr>
          <w:rFonts w:ascii="Arial" w:hAnsi="Arial" w:cs="Arial"/>
          <w:b/>
          <w:i/>
        </w:rPr>
        <w:t>Protocol for responses</w:t>
      </w:r>
    </w:p>
    <w:p w14:paraId="6520F778" w14:textId="64F6E8FE" w:rsidR="0065319B" w:rsidRDefault="0065319B" w:rsidP="0065319B">
      <w:pPr>
        <w:jc w:val="both"/>
        <w:rPr>
          <w:rFonts w:ascii="Arial" w:hAnsi="Arial" w:cs="Arial"/>
        </w:rPr>
      </w:pPr>
      <w:r>
        <w:rPr>
          <w:rFonts w:ascii="Arial" w:hAnsi="Arial" w:cs="Arial"/>
        </w:rPr>
        <w:t xml:space="preserve">I would be grateful for responses and the information requested by </w:t>
      </w:r>
      <w:r w:rsidR="00F1090F">
        <w:rPr>
          <w:rFonts w:ascii="Arial" w:hAnsi="Arial" w:cs="Arial"/>
        </w:rPr>
        <w:t>1</w:t>
      </w:r>
      <w:r w:rsidR="00836A25">
        <w:rPr>
          <w:rFonts w:ascii="Arial" w:hAnsi="Arial" w:cs="Arial"/>
        </w:rPr>
        <w:t>2</w:t>
      </w:r>
      <w:r w:rsidR="00F1090F">
        <w:rPr>
          <w:rFonts w:ascii="Arial" w:hAnsi="Arial" w:cs="Arial"/>
        </w:rPr>
        <w:t xml:space="preserve"> May</w:t>
      </w:r>
      <w:r w:rsidRPr="0014362D">
        <w:rPr>
          <w:rFonts w:ascii="Arial" w:hAnsi="Arial" w:cs="Arial"/>
        </w:rPr>
        <w:t xml:space="preserve"> 20</w:t>
      </w:r>
      <w:r>
        <w:rPr>
          <w:rFonts w:ascii="Arial" w:hAnsi="Arial" w:cs="Arial"/>
        </w:rPr>
        <w:t>2</w:t>
      </w:r>
      <w:r w:rsidR="00F1090F">
        <w:rPr>
          <w:rFonts w:ascii="Arial" w:hAnsi="Arial" w:cs="Arial"/>
        </w:rPr>
        <w:t>4</w:t>
      </w:r>
      <w:r>
        <w:rPr>
          <w:rFonts w:ascii="Arial" w:hAnsi="Arial" w:cs="Arial"/>
        </w:rPr>
        <w:t>. Please let me know if this timetable may be challenging to achieve. It is intended to maintain the momentum of the examination.</w:t>
      </w:r>
    </w:p>
    <w:p w14:paraId="3CC2A470" w14:textId="77777777" w:rsidR="0065319B" w:rsidRDefault="0065319B" w:rsidP="0065319B">
      <w:pPr>
        <w:jc w:val="both"/>
        <w:rPr>
          <w:rFonts w:ascii="Arial" w:hAnsi="Arial" w:cs="Arial"/>
        </w:rPr>
      </w:pPr>
      <w:r>
        <w:rPr>
          <w:rFonts w:ascii="Arial" w:hAnsi="Arial" w:cs="Arial"/>
        </w:rPr>
        <w:t xml:space="preserve">If certain responses are available before others, I am happy to receive the information on a piecemeal basis. Irrespective of how the information is assembled please could it come to me directly from the District Council. In addition, please can all responses make direct reference to the </w:t>
      </w:r>
      <w:proofErr w:type="gramStart"/>
      <w:r>
        <w:rPr>
          <w:rFonts w:ascii="Arial" w:hAnsi="Arial" w:cs="Arial"/>
        </w:rPr>
        <w:t>policy</w:t>
      </w:r>
      <w:proofErr w:type="gramEnd"/>
      <w:r>
        <w:rPr>
          <w:rFonts w:ascii="Arial" w:hAnsi="Arial" w:cs="Arial"/>
        </w:rPr>
        <w:t xml:space="preserve"> or the matter concerned.</w:t>
      </w:r>
    </w:p>
    <w:p w14:paraId="122B4178" w14:textId="77777777" w:rsidR="0065319B" w:rsidRDefault="0065319B" w:rsidP="0065319B">
      <w:pPr>
        <w:jc w:val="both"/>
        <w:rPr>
          <w:rFonts w:ascii="Arial" w:hAnsi="Arial" w:cs="Arial"/>
        </w:rPr>
      </w:pPr>
    </w:p>
    <w:p w14:paraId="207B57D6" w14:textId="77777777" w:rsidR="0065319B" w:rsidRDefault="0065319B" w:rsidP="0065319B">
      <w:pPr>
        <w:jc w:val="both"/>
        <w:rPr>
          <w:rFonts w:ascii="Arial" w:hAnsi="Arial" w:cs="Arial"/>
        </w:rPr>
      </w:pPr>
    </w:p>
    <w:p w14:paraId="0C7CBC54" w14:textId="77777777" w:rsidR="0065319B" w:rsidRDefault="0065319B" w:rsidP="0065319B">
      <w:pPr>
        <w:jc w:val="both"/>
        <w:rPr>
          <w:rFonts w:ascii="Arial" w:hAnsi="Arial" w:cs="Arial"/>
        </w:rPr>
      </w:pPr>
      <w:r>
        <w:rPr>
          <w:rFonts w:ascii="Arial" w:hAnsi="Arial" w:cs="Arial"/>
        </w:rPr>
        <w:t>Andrew Ashcroft</w:t>
      </w:r>
    </w:p>
    <w:p w14:paraId="2851A1FB" w14:textId="77777777" w:rsidR="0065319B" w:rsidRDefault="0065319B" w:rsidP="0065319B">
      <w:pPr>
        <w:jc w:val="both"/>
        <w:rPr>
          <w:rFonts w:ascii="Arial" w:hAnsi="Arial" w:cs="Arial"/>
        </w:rPr>
      </w:pPr>
      <w:r>
        <w:rPr>
          <w:rFonts w:ascii="Arial" w:hAnsi="Arial" w:cs="Arial"/>
        </w:rPr>
        <w:t xml:space="preserve">Independent Examiner </w:t>
      </w:r>
    </w:p>
    <w:p w14:paraId="5EBFEE40" w14:textId="1B7291E4" w:rsidR="0065319B" w:rsidRDefault="0065319B" w:rsidP="0065319B">
      <w:pPr>
        <w:rPr>
          <w:rFonts w:ascii="Arial" w:hAnsi="Arial" w:cs="Arial"/>
        </w:rPr>
      </w:pPr>
      <w:r>
        <w:rPr>
          <w:rFonts w:ascii="Arial" w:hAnsi="Arial" w:cs="Arial"/>
        </w:rPr>
        <w:t>Treswell and Cottam Neighbourhood Development Plan</w:t>
      </w:r>
      <w:r w:rsidR="00F1090F">
        <w:rPr>
          <w:rFonts w:ascii="Arial" w:hAnsi="Arial" w:cs="Arial"/>
        </w:rPr>
        <w:t xml:space="preserve"> Review</w:t>
      </w:r>
    </w:p>
    <w:p w14:paraId="042405D0" w14:textId="13D977C9" w:rsidR="0065319B" w:rsidRPr="0014362D" w:rsidRDefault="0065319B" w:rsidP="0065319B">
      <w:pPr>
        <w:jc w:val="both"/>
        <w:rPr>
          <w:rFonts w:ascii="Arial" w:hAnsi="Arial" w:cs="Arial"/>
        </w:rPr>
      </w:pPr>
      <w:r>
        <w:rPr>
          <w:rFonts w:ascii="Arial" w:hAnsi="Arial" w:cs="Arial"/>
        </w:rPr>
        <w:t xml:space="preserve">22 April </w:t>
      </w:r>
      <w:r w:rsidRPr="0014362D">
        <w:rPr>
          <w:rFonts w:ascii="Arial" w:hAnsi="Arial" w:cs="Arial"/>
        </w:rPr>
        <w:t>20</w:t>
      </w:r>
      <w:r>
        <w:rPr>
          <w:rFonts w:ascii="Arial" w:hAnsi="Arial" w:cs="Arial"/>
        </w:rPr>
        <w:t>24</w:t>
      </w:r>
    </w:p>
    <w:p w14:paraId="74FFBA00" w14:textId="77777777" w:rsidR="0065319B" w:rsidRDefault="0065319B" w:rsidP="0065319B"/>
    <w:p w14:paraId="118F901C" w14:textId="77777777" w:rsidR="0065319B" w:rsidRDefault="0065319B" w:rsidP="0065319B"/>
    <w:p w14:paraId="4B982A42" w14:textId="77777777" w:rsidR="0065319B" w:rsidRDefault="0065319B" w:rsidP="0065319B"/>
    <w:p w14:paraId="279A06A3" w14:textId="77777777" w:rsidR="0065319B" w:rsidRDefault="0065319B" w:rsidP="0065319B"/>
    <w:p w14:paraId="5AFD5AD4" w14:textId="77777777" w:rsidR="0065319B" w:rsidRDefault="0065319B" w:rsidP="0065319B"/>
    <w:p w14:paraId="6BBBA359" w14:textId="77777777" w:rsidR="00983D92" w:rsidRDefault="00983D92"/>
    <w:sectPr w:rsidR="00983D92" w:rsidSect="00A00D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CDB0" w14:textId="77777777" w:rsidR="00A00D97" w:rsidRDefault="00A00D97" w:rsidP="0065319B">
      <w:pPr>
        <w:spacing w:after="0" w:line="240" w:lineRule="auto"/>
      </w:pPr>
      <w:r>
        <w:separator/>
      </w:r>
    </w:p>
  </w:endnote>
  <w:endnote w:type="continuationSeparator" w:id="0">
    <w:p w14:paraId="18A0EA5D" w14:textId="77777777" w:rsidR="00A00D97" w:rsidRDefault="00A00D97" w:rsidP="0065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208E" w14:textId="46E6FDF4" w:rsidR="00D63E4F" w:rsidRPr="00574BA3" w:rsidRDefault="0065319B">
    <w:pPr>
      <w:pStyle w:val="Footer"/>
      <w:rPr>
        <w:rFonts w:ascii="Arial" w:hAnsi="Arial" w:cs="Arial"/>
        <w:sz w:val="18"/>
        <w:szCs w:val="18"/>
      </w:rPr>
    </w:pPr>
    <w:r>
      <w:rPr>
        <w:rFonts w:ascii="Arial" w:hAnsi="Arial" w:cs="Arial"/>
        <w:sz w:val="18"/>
        <w:szCs w:val="18"/>
      </w:rPr>
      <w:t xml:space="preserve">Treswell </w:t>
    </w:r>
    <w:r w:rsidR="004B4C25">
      <w:rPr>
        <w:rFonts w:ascii="Arial" w:hAnsi="Arial" w:cs="Arial"/>
        <w:sz w:val="18"/>
        <w:szCs w:val="18"/>
      </w:rPr>
      <w:t xml:space="preserve">with </w:t>
    </w:r>
    <w:r>
      <w:rPr>
        <w:rFonts w:ascii="Arial" w:hAnsi="Arial" w:cs="Arial"/>
        <w:sz w:val="18"/>
        <w:szCs w:val="18"/>
      </w:rPr>
      <w:t>Cottam</w:t>
    </w:r>
    <w:r w:rsidR="00D63E4F" w:rsidRPr="00574BA3">
      <w:rPr>
        <w:rFonts w:ascii="Arial" w:hAnsi="Arial" w:cs="Arial"/>
        <w:sz w:val="18"/>
        <w:szCs w:val="18"/>
      </w:rPr>
      <w:t xml:space="preserve"> NDP </w:t>
    </w:r>
    <w:r w:rsidR="00D63E4F">
      <w:rPr>
        <w:rFonts w:ascii="Arial" w:hAnsi="Arial" w:cs="Arial"/>
        <w:sz w:val="18"/>
        <w:szCs w:val="18"/>
      </w:rPr>
      <w:t xml:space="preserve">Review </w:t>
    </w:r>
    <w:r w:rsidR="00D63E4F" w:rsidRPr="00574BA3">
      <w:rPr>
        <w:rFonts w:ascii="Arial" w:hAnsi="Arial" w:cs="Arial"/>
        <w:sz w:val="18"/>
        <w:szCs w:val="18"/>
      </w:rPr>
      <w:t>– Clarification Note</w:t>
    </w:r>
  </w:p>
  <w:p w14:paraId="2D6BAE78" w14:textId="77777777" w:rsidR="00D63E4F" w:rsidRDefault="00D6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96C5" w14:textId="77777777" w:rsidR="00A00D97" w:rsidRDefault="00A00D97" w:rsidP="0065319B">
      <w:pPr>
        <w:spacing w:after="0" w:line="240" w:lineRule="auto"/>
      </w:pPr>
      <w:r>
        <w:separator/>
      </w:r>
    </w:p>
  </w:footnote>
  <w:footnote w:type="continuationSeparator" w:id="0">
    <w:p w14:paraId="246AFA37" w14:textId="77777777" w:rsidR="00A00D97" w:rsidRDefault="00A00D97" w:rsidP="00653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858495"/>
      <w:docPartObj>
        <w:docPartGallery w:val="Page Numbers (Top of Page)"/>
        <w:docPartUnique/>
      </w:docPartObj>
    </w:sdtPr>
    <w:sdtContent>
      <w:p w14:paraId="073971CD" w14:textId="70325C0A" w:rsidR="008B389C" w:rsidRDefault="008B389C">
        <w:pPr>
          <w:pStyle w:val="Header"/>
          <w:jc w:val="right"/>
        </w:pPr>
        <w:r>
          <w:fldChar w:fldCharType="begin"/>
        </w:r>
        <w:r>
          <w:instrText>PAGE   \* MERGEFORMAT</w:instrText>
        </w:r>
        <w:r>
          <w:fldChar w:fldCharType="separate"/>
        </w:r>
        <w:r>
          <w:t>2</w:t>
        </w:r>
        <w:r>
          <w:fldChar w:fldCharType="end"/>
        </w:r>
      </w:p>
    </w:sdtContent>
  </w:sdt>
  <w:p w14:paraId="4C330DFB" w14:textId="77777777" w:rsidR="00D63E4F" w:rsidRDefault="00D6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817"/>
    <w:multiLevelType w:val="hybridMultilevel"/>
    <w:tmpl w:val="B96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700A2"/>
    <w:multiLevelType w:val="hybridMultilevel"/>
    <w:tmpl w:val="EF9E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103989">
    <w:abstractNumId w:val="1"/>
  </w:num>
  <w:num w:numId="2" w16cid:durableId="119191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9B"/>
    <w:rsid w:val="00010331"/>
    <w:rsid w:val="00084322"/>
    <w:rsid w:val="000938A7"/>
    <w:rsid w:val="001E0D73"/>
    <w:rsid w:val="00211A40"/>
    <w:rsid w:val="00236FBE"/>
    <w:rsid w:val="00274A51"/>
    <w:rsid w:val="002774C2"/>
    <w:rsid w:val="00285E82"/>
    <w:rsid w:val="002B176E"/>
    <w:rsid w:val="0039266C"/>
    <w:rsid w:val="003D2F92"/>
    <w:rsid w:val="004A14B5"/>
    <w:rsid w:val="004B4C25"/>
    <w:rsid w:val="00535B47"/>
    <w:rsid w:val="005A3021"/>
    <w:rsid w:val="005E4E95"/>
    <w:rsid w:val="005F0BC0"/>
    <w:rsid w:val="00620CF8"/>
    <w:rsid w:val="0065319B"/>
    <w:rsid w:val="006B50B7"/>
    <w:rsid w:val="007B4656"/>
    <w:rsid w:val="00816F58"/>
    <w:rsid w:val="00823DE8"/>
    <w:rsid w:val="00836A25"/>
    <w:rsid w:val="00843B09"/>
    <w:rsid w:val="00852EDF"/>
    <w:rsid w:val="0088231E"/>
    <w:rsid w:val="008B0012"/>
    <w:rsid w:val="008B389C"/>
    <w:rsid w:val="008E0799"/>
    <w:rsid w:val="008F6DAD"/>
    <w:rsid w:val="00901BBA"/>
    <w:rsid w:val="00911674"/>
    <w:rsid w:val="00983D92"/>
    <w:rsid w:val="00A00D97"/>
    <w:rsid w:val="00A3754F"/>
    <w:rsid w:val="00A833BE"/>
    <w:rsid w:val="00AD003B"/>
    <w:rsid w:val="00AF0E03"/>
    <w:rsid w:val="00CF6B8D"/>
    <w:rsid w:val="00CF6CF7"/>
    <w:rsid w:val="00D2409E"/>
    <w:rsid w:val="00D25F69"/>
    <w:rsid w:val="00D627EB"/>
    <w:rsid w:val="00D63E4F"/>
    <w:rsid w:val="00D70338"/>
    <w:rsid w:val="00DD1B40"/>
    <w:rsid w:val="00DE6A79"/>
    <w:rsid w:val="00E62CDB"/>
    <w:rsid w:val="00F1090F"/>
    <w:rsid w:val="00F27F83"/>
    <w:rsid w:val="00F336C1"/>
    <w:rsid w:val="00FC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4E45"/>
  <w15:chartTrackingRefBased/>
  <w15:docId w15:val="{57F1BE5A-B52B-483C-AE20-15BDA149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19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19B"/>
    <w:rPr>
      <w:kern w:val="0"/>
      <w14:ligatures w14:val="none"/>
    </w:rPr>
  </w:style>
  <w:style w:type="paragraph" w:styleId="Footer">
    <w:name w:val="footer"/>
    <w:basedOn w:val="Normal"/>
    <w:link w:val="FooterChar"/>
    <w:uiPriority w:val="99"/>
    <w:unhideWhenUsed/>
    <w:rsid w:val="00653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19B"/>
    <w:rPr>
      <w:kern w:val="0"/>
      <w14:ligatures w14:val="none"/>
    </w:rPr>
  </w:style>
  <w:style w:type="paragraph" w:styleId="ListParagraph">
    <w:name w:val="List Paragraph"/>
    <w:basedOn w:val="Normal"/>
    <w:uiPriority w:val="34"/>
    <w:qFormat/>
    <w:rsid w:val="0065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Treswell with Cottam Neighbourhood Plan (Review) - Response to Examiner's Clarification Note</dc:title>
  <dc:subject/>
  <dc:creator>andrew ashcroft</dc:creator>
  <cp:keywords>Treswell with Cottam Neighbourhood Plan Review Examination</cp:keywords>
  <dc:description/>
  <cp:lastModifiedBy>Will Wilson</cp:lastModifiedBy>
  <cp:revision>5</cp:revision>
  <dcterms:created xsi:type="dcterms:W3CDTF">2024-05-02T12:06:00Z</dcterms:created>
  <dcterms:modified xsi:type="dcterms:W3CDTF">2024-05-31T10:54:00Z</dcterms:modified>
</cp:coreProperties>
</file>